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bookmarkEnd w:id="0"/>
    <w:p w14:paraId="42D625EC" w14:textId="77777777" w:rsidR="0020333E" w:rsidRDefault="0055139F">
      <w:pPr>
        <w:jc w:val="both"/>
        <w:rPr>
          <w:rFonts w:ascii="Bookman Old Style" w:eastAsia="Bookman Old Style" w:hAnsi="Bookman Old Style" w:cs="Bookman Old Style"/>
          <w:color w:val="00B050"/>
          <w:sz w:val="16"/>
          <w:szCs w:val="16"/>
        </w:rPr>
      </w:pPr>
      <w:r>
        <w:rPr>
          <w:noProof/>
          <w:color w:val="00B050"/>
        </w:rPr>
        <mc:AlternateContent>
          <mc:Choice Requires="wps">
            <w:drawing>
              <wp:anchor distT="0" distB="0" distL="114300" distR="114300" simplePos="0" relativeHeight="251659264" behindDoc="0" locked="0" layoutInCell="1" allowOverlap="1" wp14:anchorId="3491C6F0" wp14:editId="5789AC71">
                <wp:simplePos x="0" y="0"/>
                <wp:positionH relativeFrom="column">
                  <wp:posOffset>1123950</wp:posOffset>
                </wp:positionH>
                <wp:positionV relativeFrom="paragraph">
                  <wp:posOffset>-218440</wp:posOffset>
                </wp:positionV>
                <wp:extent cx="4084320" cy="1619250"/>
                <wp:effectExtent l="19050" t="19050" r="30480" b="38100"/>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84320" cy="1619250"/>
                        </a:xfrm>
                        <a:prstGeom prst="rect">
                          <a:avLst/>
                        </a:prstGeom>
                        <a:noFill/>
                        <a:ln w="50800">
                          <a:solidFill>
                            <a:srgbClr val="0000FF"/>
                          </a:solidFill>
                          <a:miter lim="800000"/>
                        </a:ln>
                      </wps:spPr>
                      <wps:txbx>
                        <w:txbxContent>
                          <w:p w14:paraId="2A84EAE2" w14:textId="77777777" w:rsidR="0020333E" w:rsidRDefault="0055139F">
                            <w:pPr>
                              <w:autoSpaceDE w:val="0"/>
                              <w:autoSpaceDN w:val="0"/>
                              <w:adjustRightInd w:val="0"/>
                              <w:jc w:val="center"/>
                              <w:rPr>
                                <w:rFonts w:ascii="Tahoma" w:hAnsi="Tahoma" w:cs="Tahoma"/>
                                <w:b/>
                                <w:bCs/>
                                <w:color w:val="0000FF"/>
                                <w:sz w:val="52"/>
                                <w:szCs w:val="52"/>
                              </w:rPr>
                            </w:pPr>
                            <w:r>
                              <w:rPr>
                                <w:rFonts w:ascii="Tahoma" w:hAnsi="Tahoma" w:cs="Tahoma"/>
                                <w:b/>
                                <w:bCs/>
                                <w:color w:val="0000FF"/>
                                <w:sz w:val="52"/>
                                <w:szCs w:val="52"/>
                              </w:rPr>
                              <w:t xml:space="preserve">Newsletter </w:t>
                            </w:r>
                          </w:p>
                          <w:p w14:paraId="4833BAFD" w14:textId="77777777" w:rsidR="0020333E" w:rsidRDefault="0055139F">
                            <w:pPr>
                              <w:autoSpaceDE w:val="0"/>
                              <w:autoSpaceDN w:val="0"/>
                              <w:adjustRightInd w:val="0"/>
                              <w:jc w:val="center"/>
                              <w:rPr>
                                <w:rFonts w:ascii="Tahoma" w:hAnsi="Tahoma" w:cs="Tahoma"/>
                                <w:b/>
                                <w:bCs/>
                                <w:color w:val="0000FF"/>
                                <w:sz w:val="44"/>
                                <w:szCs w:val="44"/>
                              </w:rPr>
                            </w:pPr>
                            <w:r>
                              <w:rPr>
                                <w:rFonts w:ascii="Tahoma" w:hAnsi="Tahoma" w:cs="Tahoma"/>
                                <w:b/>
                                <w:bCs/>
                                <w:color w:val="0000FF"/>
                                <w:sz w:val="44"/>
                                <w:szCs w:val="44"/>
                              </w:rPr>
                              <w:t xml:space="preserve">Quarterly Gross Domestic Product (QGDP) </w:t>
                            </w:r>
                          </w:p>
                          <w:p w14:paraId="0399626B" w14:textId="4D1CF8C5" w:rsidR="0020333E" w:rsidRDefault="002E4EAB">
                            <w:pPr>
                              <w:autoSpaceDE w:val="0"/>
                              <w:autoSpaceDN w:val="0"/>
                              <w:adjustRightInd w:val="0"/>
                              <w:jc w:val="center"/>
                              <w:rPr>
                                <w:rFonts w:ascii="Tahoma" w:hAnsi="Tahoma" w:cs="Tahoma"/>
                                <w:b/>
                                <w:bCs/>
                                <w:color w:val="0000FF"/>
                                <w:sz w:val="44"/>
                                <w:szCs w:val="44"/>
                              </w:rPr>
                            </w:pPr>
                            <w:r>
                              <w:rPr>
                                <w:rFonts w:ascii="Tahoma" w:hAnsi="Tahoma" w:cs="Tahoma"/>
                                <w:b/>
                                <w:bCs/>
                                <w:color w:val="0000FF"/>
                                <w:sz w:val="44"/>
                                <w:szCs w:val="44"/>
                              </w:rPr>
                              <w:t>Fourth</w:t>
                            </w:r>
                            <w:r w:rsidR="0055139F">
                              <w:rPr>
                                <w:rFonts w:ascii="Tahoma" w:hAnsi="Tahoma" w:cs="Tahoma"/>
                                <w:b/>
                                <w:bCs/>
                                <w:color w:val="0000FF"/>
                                <w:sz w:val="44"/>
                                <w:szCs w:val="44"/>
                              </w:rPr>
                              <w:t xml:space="preserve"> Quarter 2022</w:t>
                            </w:r>
                          </w:p>
                          <w:p w14:paraId="2E614291" w14:textId="77777777" w:rsidR="0020333E" w:rsidRDefault="0055139F">
                            <w:pPr>
                              <w:autoSpaceDE w:val="0"/>
                              <w:autoSpaceDN w:val="0"/>
                              <w:adjustRightInd w:val="0"/>
                              <w:rPr>
                                <w:rFonts w:ascii="Tahoma" w:hAnsi="Tahoma" w:cs="Tahoma"/>
                                <w:b/>
                                <w:bCs/>
                                <w:color w:val="0000FF"/>
                                <w:sz w:val="44"/>
                                <w:szCs w:val="44"/>
                              </w:rPr>
                            </w:pPr>
                            <w:r>
                              <w:rPr>
                                <w:rFonts w:ascii="Tahoma" w:hAnsi="Tahoma" w:cs="Tahoma"/>
                                <w:b/>
                                <w:bCs/>
                                <w:color w:val="0000FF"/>
                                <w:sz w:val="44"/>
                                <w:szCs w:val="44"/>
                              </w:rPr>
                              <w:t xml:space="preserve"> Quarter 2019</w:t>
                            </w:r>
                          </w:p>
                          <w:p w14:paraId="64438825" w14:textId="77777777" w:rsidR="0020333E" w:rsidRDefault="0020333E">
                            <w:pPr>
                              <w:jc w:val="both"/>
                              <w:rPr>
                                <w:rFonts w:ascii="Arial" w:hAnsi="Arial" w:cs="Arial"/>
                                <w:color w:val="333399"/>
                                <w:sz w:val="54"/>
                                <w:szCs w:val="54"/>
                                <w:lang w:val="en-GB"/>
                              </w:rPr>
                            </w:pP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3491C6F0" id="Rectangle 3" o:spid="_x0000_s1026" style="position:absolute;left:0;text-align:left;margin-left:88.5pt;margin-top:-17.2pt;width:321.6pt;height:127.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" filled="f" strokecolor="blue" strokeweight="4pt">
                <v:textbox>
                  <w:txbxContent>
                    <w:p w14:paraId="2A84EAE2" w14:textId="77777777" w:rsidR="0020333E" w:rsidRDefault="0055139F">
                      <w:pPr>
                        <w:autoSpaceDE w:val="0"/>
                        <w:autoSpaceDN w:val="0"/>
                        <w:adjustRightInd w:val="0"/>
                        <w:jc w:val="center"/>
                        <w:rPr>
                          <w:rFonts w:ascii="Tahoma" w:hAnsi="Tahoma" w:cs="Tahoma"/>
                          <w:b/>
                          <w:bCs/>
                          <w:color w:val="0000FF"/>
                          <w:sz w:val="52"/>
                          <w:szCs w:val="52"/>
                        </w:rPr>
                      </w:pPr>
                      <w:r>
                        <w:rPr>
                          <w:rFonts w:ascii="Tahoma" w:hAnsi="Tahoma" w:cs="Tahoma"/>
                          <w:b/>
                          <w:bCs/>
                          <w:color w:val="0000FF"/>
                          <w:sz w:val="52"/>
                          <w:szCs w:val="52"/>
                        </w:rPr>
                        <w:t xml:space="preserve">Newsletter </w:t>
                      </w:r>
                    </w:p>
                    <w:p w14:paraId="4833BAFD" w14:textId="77777777" w:rsidR="0020333E" w:rsidRDefault="0055139F">
                      <w:pPr>
                        <w:autoSpaceDE w:val="0"/>
                        <w:autoSpaceDN w:val="0"/>
                        <w:adjustRightInd w:val="0"/>
                        <w:jc w:val="center"/>
                        <w:rPr>
                          <w:rFonts w:ascii="Tahoma" w:hAnsi="Tahoma" w:cs="Tahoma"/>
                          <w:b/>
                          <w:bCs/>
                          <w:color w:val="0000FF"/>
                          <w:sz w:val="44"/>
                          <w:szCs w:val="44"/>
                        </w:rPr>
                      </w:pPr>
                      <w:r>
                        <w:rPr>
                          <w:rFonts w:ascii="Tahoma" w:hAnsi="Tahoma" w:cs="Tahoma"/>
                          <w:b/>
                          <w:bCs/>
                          <w:color w:val="0000FF"/>
                          <w:sz w:val="44"/>
                          <w:szCs w:val="44"/>
                        </w:rPr>
                        <w:t xml:space="preserve">Quarterly Gross Domestic Product (QGDP) </w:t>
                      </w:r>
                    </w:p>
                    <w:p w14:paraId="0399626B" w14:textId="4D1CF8C5" w:rsidR="0020333E" w:rsidRDefault="002E4EAB">
                      <w:pPr>
                        <w:autoSpaceDE w:val="0"/>
                        <w:autoSpaceDN w:val="0"/>
                        <w:adjustRightInd w:val="0"/>
                        <w:jc w:val="center"/>
                        <w:rPr>
                          <w:rFonts w:ascii="Tahoma" w:hAnsi="Tahoma" w:cs="Tahoma"/>
                          <w:b/>
                          <w:bCs/>
                          <w:color w:val="0000FF"/>
                          <w:sz w:val="44"/>
                          <w:szCs w:val="44"/>
                        </w:rPr>
                      </w:pPr>
                      <w:r>
                        <w:rPr>
                          <w:rFonts w:ascii="Tahoma" w:hAnsi="Tahoma" w:cs="Tahoma"/>
                          <w:b/>
                          <w:bCs/>
                          <w:color w:val="0000FF"/>
                          <w:sz w:val="44"/>
                          <w:szCs w:val="44"/>
                        </w:rPr>
                        <w:t>Fourth</w:t>
                      </w:r>
                      <w:r w:rsidR="0055139F">
                        <w:rPr>
                          <w:rFonts w:ascii="Tahoma" w:hAnsi="Tahoma" w:cs="Tahoma"/>
                          <w:b/>
                          <w:bCs/>
                          <w:color w:val="0000FF"/>
                          <w:sz w:val="44"/>
                          <w:szCs w:val="44"/>
                        </w:rPr>
                        <w:t xml:space="preserve"> Quarter 2022</w:t>
                      </w:r>
                    </w:p>
                    <w:p w14:paraId="2E614291" w14:textId="77777777" w:rsidR="0020333E" w:rsidRDefault="0055139F">
                      <w:pPr>
                        <w:autoSpaceDE w:val="0"/>
                        <w:autoSpaceDN w:val="0"/>
                        <w:adjustRightInd w:val="0"/>
                        <w:rPr>
                          <w:rFonts w:ascii="Tahoma" w:hAnsi="Tahoma" w:cs="Tahoma"/>
                          <w:b/>
                          <w:bCs/>
                          <w:color w:val="0000FF"/>
                          <w:sz w:val="44"/>
                          <w:szCs w:val="44"/>
                        </w:rPr>
                      </w:pPr>
                      <w:r>
                        <w:rPr>
                          <w:rFonts w:ascii="Tahoma" w:hAnsi="Tahoma" w:cs="Tahoma"/>
                          <w:b/>
                          <w:bCs/>
                          <w:color w:val="0000FF"/>
                          <w:sz w:val="44"/>
                          <w:szCs w:val="44"/>
                        </w:rPr>
                        <w:t xml:space="preserve"> Quarter 2019</w:t>
                      </w:r>
                    </w:p>
                    <w:p w14:paraId="64438825" w14:textId="77777777" w:rsidR="0020333E" w:rsidRDefault="0020333E">
                      <w:pPr>
                        <w:jc w:val="both"/>
                        <w:rPr>
                          <w:rFonts w:ascii="Arial" w:hAnsi="Arial" w:cs="Arial"/>
                          <w:color w:val="333399"/>
                          <w:sz w:val="54"/>
                          <w:szCs w:val="54"/>
                          <w:lang w:val="en-GB"/>
                        </w:rPr>
                      </w:pPr>
                    </w:p>
                  </w:txbxContent>
                </v:textbox>
              </v:rect>
            </w:pict>
          </mc:Fallback>
        </mc:AlternateContent>
      </w:r>
      <w:r>
        <w:rPr>
          <w:noProof/>
          <w:color w:val="00B050"/>
        </w:rPr>
        <w:drawing>
          <wp:anchor distT="0" distB="0" distL="114300" distR="114300" simplePos="0" relativeHeight="251660288" behindDoc="0" locked="0" layoutInCell="1" allowOverlap="1" wp14:anchorId="57A96149" wp14:editId="18061F7D">
            <wp:simplePos x="0" y="0"/>
            <wp:positionH relativeFrom="column">
              <wp:posOffset>-210820</wp:posOffset>
            </wp:positionH>
            <wp:positionV relativeFrom="paragraph">
              <wp:posOffset>-37465</wp:posOffset>
            </wp:positionV>
            <wp:extent cx="1190625" cy="1181100"/>
            <wp:effectExtent l="0" t="0" r="0" b="0"/>
            <wp:wrapTopAndBottom/>
            <wp:docPr id="7" name="image4.png"/>
            <wp:cNvGraphicFramePr/>
            <a:graphic xmlns:a="http://schemas.openxmlformats.org/drawingml/2006/main">
              <a:graphicData uri="http://schemas.openxmlformats.org/drawingml/2006/picture">
                <pic:pic xmlns:pic="http://schemas.openxmlformats.org/drawingml/2006/picture">
                  <pic:nvPicPr>
                    <pic:cNvPr id="7" name="image4.png"/>
                    <pic:cNvPicPr preferRelativeResize="0"/>
                  </pic:nvPicPr>
                  <pic:blipFill>
                    <a:blip r:embed="rId9"/>
                    <a:srcRect/>
                    <a:stretch>
                      <a:fillRect/>
                    </a:stretch>
                  </pic:blipFill>
                  <pic:spPr>
                    <a:xfrm>
                      <a:off x="0" y="0"/>
                      <a:ext cx="1190625" cy="1181100"/>
                    </a:xfrm>
                    <a:prstGeom prst="rect">
                      <a:avLst/>
                    </a:prstGeom>
                  </pic:spPr>
                </pic:pic>
              </a:graphicData>
            </a:graphic>
          </wp:anchor>
        </w:drawing>
      </w:r>
      <w:r>
        <w:rPr>
          <w:noProof/>
          <w:color w:val="00B050"/>
        </w:rPr>
        <w:drawing>
          <wp:anchor distT="0" distB="0" distL="114300" distR="114300" simplePos="0" relativeHeight="251661312" behindDoc="0" locked="0" layoutInCell="1" allowOverlap="1" wp14:anchorId="3DF2BC74" wp14:editId="243470E7">
            <wp:simplePos x="0" y="0"/>
            <wp:positionH relativeFrom="column">
              <wp:posOffset>5455920</wp:posOffset>
            </wp:positionH>
            <wp:positionV relativeFrom="paragraph">
              <wp:posOffset>-161290</wp:posOffset>
            </wp:positionV>
            <wp:extent cx="1025525" cy="1009650"/>
            <wp:effectExtent l="0" t="0" r="0" b="0"/>
            <wp:wrapNone/>
            <wp:docPr id="8" name="image5.png"/>
            <wp:cNvGraphicFramePr/>
            <a:graphic xmlns:a="http://schemas.openxmlformats.org/drawingml/2006/main">
              <a:graphicData uri="http://schemas.openxmlformats.org/drawingml/2006/picture">
                <pic:pic xmlns:pic="http://schemas.openxmlformats.org/drawingml/2006/picture">
                  <pic:nvPicPr>
                    <pic:cNvPr id="8" name="image5.png"/>
                    <pic:cNvPicPr preferRelativeResize="0"/>
                  </pic:nvPicPr>
                  <pic:blipFill>
                    <a:blip r:embed="rId10"/>
                    <a:srcRect/>
                    <a:stretch>
                      <a:fillRect/>
                    </a:stretch>
                  </pic:blipFill>
                  <pic:spPr>
                    <a:xfrm>
                      <a:off x="0" y="0"/>
                      <a:ext cx="1025525" cy="1009650"/>
                    </a:xfrm>
                    <a:prstGeom prst="rect">
                      <a:avLst/>
                    </a:prstGeom>
                  </pic:spPr>
                </pic:pic>
              </a:graphicData>
            </a:graphic>
          </wp:anchor>
        </w:drawing>
      </w:r>
      <w:r>
        <w:rPr>
          <w:noProof/>
          <w:color w:val="00B050"/>
        </w:rPr>
        <mc:AlternateContent>
          <mc:Choice Requires="wps">
            <w:drawing>
              <wp:anchor distT="0" distB="0" distL="114300" distR="114300" simplePos="0" relativeHeight="251662336" behindDoc="0" locked="0" layoutInCell="1" allowOverlap="1" wp14:anchorId="0ADC21B1" wp14:editId="3A0539A0">
                <wp:simplePos x="0" y="0"/>
                <wp:positionH relativeFrom="column">
                  <wp:posOffset>5285105</wp:posOffset>
                </wp:positionH>
                <wp:positionV relativeFrom="paragraph">
                  <wp:posOffset>950595</wp:posOffset>
                </wp:positionV>
                <wp:extent cx="1409700" cy="723900"/>
                <wp:effectExtent l="0" t="0" r="19050" b="19050"/>
                <wp:wrapNone/>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09700" cy="724205"/>
                        </a:xfrm>
                        <a:prstGeom prst="rect">
                          <a:avLst/>
                        </a:prstGeom>
                        <a:solidFill>
                          <a:srgbClr val="FFFFFF">
                            <a:alpha val="50000"/>
                          </a:srgbClr>
                        </a:solidFill>
                        <a:ln w="9525">
                          <a:solidFill>
                            <a:srgbClr val="FFFFFF"/>
                          </a:solidFill>
                          <a:miter lim="800000"/>
                        </a:ln>
                      </wps:spPr>
                      <wps:txbx>
                        <w:txbxContent>
                          <w:p w14:paraId="3A31BDCF" w14:textId="77777777" w:rsidR="0020333E" w:rsidRDefault="0055139F">
                            <w:pPr>
                              <w:jc w:val="center"/>
                              <w:rPr>
                                <w:rFonts w:ascii="Arial" w:hAnsi="Arial" w:cs="Arial"/>
                                <w:b/>
                                <w:bCs/>
                                <w:sz w:val="18"/>
                                <w:szCs w:val="18"/>
                              </w:rPr>
                            </w:pPr>
                            <w:r>
                              <w:rPr>
                                <w:rFonts w:ascii="Arial" w:hAnsi="Arial" w:cs="Arial"/>
                                <w:b/>
                                <w:bCs/>
                                <w:sz w:val="18"/>
                                <w:szCs w:val="18"/>
                              </w:rPr>
                              <w:t>Ghana Statistical Service (GSS)</w:t>
                            </w:r>
                          </w:p>
                          <w:p w14:paraId="214B82F2" w14:textId="77777777" w:rsidR="0020333E" w:rsidRDefault="0055139F">
                            <w:pPr>
                              <w:jc w:val="center"/>
                              <w:rPr>
                                <w:rFonts w:ascii="Arial" w:hAnsi="Arial" w:cs="Arial"/>
                                <w:b/>
                                <w:i/>
                                <w:iCs/>
                                <w:sz w:val="16"/>
                                <w:szCs w:val="16"/>
                              </w:rPr>
                            </w:pPr>
                            <w:r>
                              <w:rPr>
                                <w:rFonts w:ascii="Arial" w:hAnsi="Arial" w:cs="Arial"/>
                                <w:b/>
                                <w:i/>
                                <w:iCs/>
                                <w:sz w:val="16"/>
                                <w:szCs w:val="16"/>
                              </w:rPr>
                              <w:t>P.O. Box GP 1098, Accra</w:t>
                            </w:r>
                          </w:p>
                          <w:p w14:paraId="68EB4219" w14:textId="77777777" w:rsidR="0020333E" w:rsidRDefault="0020333E">
                            <w:pPr>
                              <w:jc w:val="center"/>
                              <w:rPr>
                                <w:rFonts w:ascii="Arial" w:hAnsi="Arial" w:cs="Arial"/>
                                <w:b/>
                                <w:i/>
                                <w:iCs/>
                                <w:sz w:val="16"/>
                                <w:szCs w:val="16"/>
                              </w:rPr>
                            </w:pPr>
                          </w:p>
                          <w:p w14:paraId="24539E2A" w14:textId="77777777" w:rsidR="0020333E" w:rsidRDefault="0055139F">
                            <w:pPr>
                              <w:jc w:val="center"/>
                              <w:rPr>
                                <w:rFonts w:ascii="Arial" w:hAnsi="Arial" w:cs="Arial"/>
                                <w:b/>
                                <w:i/>
                                <w:iCs/>
                                <w:sz w:val="16"/>
                                <w:szCs w:val="16"/>
                              </w:rPr>
                            </w:pPr>
                            <w:r>
                              <w:rPr>
                                <w:rFonts w:ascii="Arial" w:hAnsi="Arial" w:cs="Arial"/>
                                <w:b/>
                                <w:i/>
                                <w:iCs/>
                                <w:sz w:val="16"/>
                                <w:szCs w:val="16"/>
                              </w:rPr>
                              <w:t>www.statsghana.gov.gh</w:t>
                            </w:r>
                          </w:p>
                          <w:p w14:paraId="36E76602" w14:textId="77777777" w:rsidR="0020333E" w:rsidRDefault="0020333E">
                            <w:pPr>
                              <w:jc w:val="center"/>
                              <w:rPr>
                                <w:rFonts w:ascii="Arial" w:hAnsi="Arial" w:cs="Arial"/>
                                <w:i/>
                                <w:iCs/>
                                <w:sz w:val="16"/>
                                <w:szCs w:val="16"/>
                              </w:rPr>
                            </w:pPr>
                          </w:p>
                        </w:txbxContent>
                      </wps:txbx>
                      <wps:bodyPr rot="0" vert="horz" wrap="square" lIns="91440" tIns="45720" rIns="91440" bIns="45720" anchor="t" anchorCtr="0" upright="1">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ADC21B1" id="Rectangle 2" o:spid="_x0000_s1027" style="position:absolute;left:0;text-align:left;margin-left:416.15pt;margin-top:74.85pt;width:111pt;height:57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" strokecolor="white">
                <v:fill opacity="32896f"/>
                <v:textbox>
                  <w:txbxContent>
                    <w:p w14:paraId="3A31BDCF" w14:textId="77777777" w:rsidR="0020333E" w:rsidRDefault="0055139F">
                      <w:pPr>
                        <w:jc w:val="center"/>
                        <w:rPr>
                          <w:rFonts w:ascii="Arial" w:hAnsi="Arial" w:cs="Arial"/>
                          <w:b/>
                          <w:bCs/>
                          <w:sz w:val="18"/>
                          <w:szCs w:val="18"/>
                        </w:rPr>
                      </w:pPr>
                      <w:r>
                        <w:rPr>
                          <w:rFonts w:ascii="Arial" w:hAnsi="Arial" w:cs="Arial"/>
                          <w:b/>
                          <w:bCs/>
                          <w:sz w:val="18"/>
                          <w:szCs w:val="18"/>
                        </w:rPr>
                        <w:t>Ghana Statistical Service (GSS)</w:t>
                      </w:r>
                    </w:p>
                    <w:p w14:paraId="214B82F2" w14:textId="77777777" w:rsidR="0020333E" w:rsidRDefault="0055139F">
                      <w:pPr>
                        <w:jc w:val="center"/>
                        <w:rPr>
                          <w:rFonts w:ascii="Arial" w:hAnsi="Arial" w:cs="Arial"/>
                          <w:b/>
                          <w:i/>
                          <w:iCs/>
                          <w:sz w:val="16"/>
                          <w:szCs w:val="16"/>
                        </w:rPr>
                      </w:pPr>
                      <w:r>
                        <w:rPr>
                          <w:rFonts w:ascii="Arial" w:hAnsi="Arial" w:cs="Arial"/>
                          <w:b/>
                          <w:i/>
                          <w:iCs/>
                          <w:sz w:val="16"/>
                          <w:szCs w:val="16"/>
                        </w:rPr>
                        <w:t>P.O. Box GP 1098, Accra</w:t>
                      </w:r>
                    </w:p>
                    <w:p w14:paraId="68EB4219" w14:textId="77777777" w:rsidR="0020333E" w:rsidRDefault="0020333E">
                      <w:pPr>
                        <w:jc w:val="center"/>
                        <w:rPr>
                          <w:rFonts w:ascii="Arial" w:hAnsi="Arial" w:cs="Arial"/>
                          <w:b/>
                          <w:i/>
                          <w:iCs/>
                          <w:sz w:val="16"/>
                          <w:szCs w:val="16"/>
                        </w:rPr>
                      </w:pPr>
                    </w:p>
                    <w:p w14:paraId="24539E2A" w14:textId="77777777" w:rsidR="0020333E" w:rsidRDefault="0055139F">
                      <w:pPr>
                        <w:jc w:val="center"/>
                        <w:rPr>
                          <w:rFonts w:ascii="Arial" w:hAnsi="Arial" w:cs="Arial"/>
                          <w:b/>
                          <w:i/>
                          <w:iCs/>
                          <w:sz w:val="16"/>
                          <w:szCs w:val="16"/>
                        </w:rPr>
                      </w:pPr>
                      <w:r>
                        <w:rPr>
                          <w:rFonts w:ascii="Arial" w:hAnsi="Arial" w:cs="Arial"/>
                          <w:b/>
                          <w:i/>
                          <w:iCs/>
                          <w:sz w:val="16"/>
                          <w:szCs w:val="16"/>
                        </w:rPr>
                        <w:t>www.statsghana.gov.gh</w:t>
                      </w:r>
                    </w:p>
                    <w:p w14:paraId="36E76602" w14:textId="77777777" w:rsidR="0020333E" w:rsidRDefault="0020333E">
                      <w:pPr>
                        <w:jc w:val="center"/>
                        <w:rPr>
                          <w:rFonts w:ascii="Arial" w:hAnsi="Arial" w:cs="Arial"/>
                          <w:i/>
                          <w:iCs/>
                          <w:sz w:val="16"/>
                          <w:szCs w:val="16"/>
                        </w:rPr>
                      </w:pPr>
                    </w:p>
                  </w:txbxContent>
                </v:textbox>
              </v:rect>
            </w:pict>
          </mc:Fallback>
        </mc:AlternateContent>
      </w:r>
    </w:p>
    <w:p w14:paraId="2C79A760" w14:textId="77777777" w:rsidR="0020333E" w:rsidRDefault="0020333E">
      <w:pPr>
        <w:jc w:val="both"/>
        <w:rPr>
          <w:rFonts w:ascii="Bookman Old Style" w:eastAsia="Bookman Old Style" w:hAnsi="Bookman Old Style" w:cs="Bookman Old Style"/>
          <w:b/>
          <w:color w:val="00B050"/>
          <w:sz w:val="20"/>
          <w:szCs w:val="20"/>
        </w:rPr>
      </w:pPr>
    </w:p>
    <w:p w14:paraId="5216E325" w14:textId="77777777" w:rsidR="0020333E" w:rsidRDefault="0020333E">
      <w:pPr>
        <w:jc w:val="both"/>
        <w:rPr>
          <w:rFonts w:ascii="Bookman Old Style" w:eastAsia="Bookman Old Style" w:hAnsi="Bookman Old Style" w:cs="Bookman Old Style"/>
          <w:b/>
          <w:color w:val="00B050"/>
          <w:sz w:val="20"/>
          <w:szCs w:val="20"/>
        </w:rPr>
      </w:pPr>
    </w:p>
    <w:p w14:paraId="5314D10A" w14:textId="77777777" w:rsidR="0020333E" w:rsidRDefault="0020333E">
      <w:pPr>
        <w:jc w:val="both"/>
        <w:rPr>
          <w:rFonts w:ascii="Bookman Old Style" w:eastAsia="Bookman Old Style" w:hAnsi="Bookman Old Style" w:cs="Bookman Old Style"/>
          <w:b/>
          <w:color w:val="00B050"/>
          <w:sz w:val="20"/>
          <w:szCs w:val="20"/>
        </w:rPr>
      </w:pPr>
    </w:p>
    <w:p w14:paraId="60A45B3A" w14:textId="7CDC0D6F" w:rsidR="0020333E" w:rsidRDefault="0055139F">
      <w:pPr>
        <w:ind w:right="-424"/>
        <w:jc w:val="both"/>
        <w:rPr>
          <w:rFonts w:ascii="Bookman Old Style" w:eastAsia="Bookman Old Style" w:hAnsi="Bookman Old Style" w:cs="Bookman Old Style"/>
          <w:b/>
          <w:sz w:val="18"/>
          <w:szCs w:val="20"/>
        </w:rPr>
      </w:pPr>
      <w:r>
        <w:rPr>
          <w:rFonts w:ascii="Bookman Old Style" w:eastAsia="Bookman Old Style" w:hAnsi="Bookman Old Style" w:cs="Bookman Old Style"/>
          <w:b/>
          <w:sz w:val="18"/>
          <w:szCs w:val="20"/>
        </w:rPr>
        <w:t xml:space="preserve"> Tel: +233-244-760080, +233-242-218079                    </w:t>
      </w:r>
      <w:r>
        <w:rPr>
          <w:rFonts w:ascii="Bookman Old Style" w:eastAsia="Bookman Old Style" w:hAnsi="Bookman Old Style" w:cs="Bookman Old Style"/>
          <w:b/>
          <w:sz w:val="18"/>
          <w:szCs w:val="20"/>
        </w:rPr>
        <w:tab/>
      </w:r>
      <w:r>
        <w:rPr>
          <w:rFonts w:ascii="Bookman Old Style" w:eastAsia="Bookman Old Style" w:hAnsi="Bookman Old Style" w:cs="Bookman Old Style"/>
          <w:b/>
          <w:sz w:val="18"/>
          <w:szCs w:val="20"/>
        </w:rPr>
        <w:tab/>
        <w:t xml:space="preserve">                                 </w:t>
      </w:r>
      <w:r w:rsidR="002E4EAB">
        <w:rPr>
          <w:rFonts w:ascii="Bookman Old Style" w:eastAsia="Bookman Old Style" w:hAnsi="Bookman Old Style" w:cs="Bookman Old Style"/>
          <w:b/>
          <w:sz w:val="18"/>
          <w:szCs w:val="20"/>
        </w:rPr>
        <w:t>April</w:t>
      </w:r>
      <w:r>
        <w:rPr>
          <w:rFonts w:ascii="Bookman Old Style" w:eastAsia="Bookman Old Style" w:hAnsi="Bookman Old Style" w:cs="Bookman Old Style"/>
          <w:b/>
          <w:sz w:val="18"/>
          <w:szCs w:val="20"/>
        </w:rPr>
        <w:t xml:space="preserve"> </w:t>
      </w:r>
      <w:r w:rsidR="002E4EAB">
        <w:rPr>
          <w:rFonts w:ascii="Bookman Old Style" w:eastAsia="Bookman Old Style" w:hAnsi="Bookman Old Style" w:cs="Bookman Old Style"/>
          <w:b/>
          <w:sz w:val="18"/>
          <w:szCs w:val="20"/>
        </w:rPr>
        <w:t>19</w:t>
      </w:r>
      <w:r>
        <w:rPr>
          <w:rFonts w:ascii="Bookman Old Style" w:eastAsia="Bookman Old Style" w:hAnsi="Bookman Old Style" w:cs="Bookman Old Style"/>
          <w:b/>
          <w:sz w:val="18"/>
          <w:szCs w:val="20"/>
        </w:rPr>
        <w:t>, 202</w:t>
      </w:r>
      <w:r w:rsidR="002E4EAB">
        <w:rPr>
          <w:rFonts w:ascii="Bookman Old Style" w:eastAsia="Bookman Old Style" w:hAnsi="Bookman Old Style" w:cs="Bookman Old Style"/>
          <w:b/>
          <w:sz w:val="18"/>
          <w:szCs w:val="20"/>
        </w:rPr>
        <w:t>3</w:t>
      </w:r>
    </w:p>
    <w:p w14:paraId="1C4C9DCF" w14:textId="77777777" w:rsidR="0020333E" w:rsidRDefault="0055139F">
      <w:pPr>
        <w:ind w:right="-424"/>
        <w:jc w:val="both"/>
        <w:rPr>
          <w:rFonts w:ascii="Bookman Old Style" w:eastAsia="Bookman Old Style" w:hAnsi="Bookman Old Style" w:cs="Bookman Old Style"/>
          <w:b/>
          <w:sz w:val="20"/>
          <w:szCs w:val="20"/>
        </w:rPr>
      </w:pPr>
      <w:r>
        <w:rPr>
          <w:noProof/>
        </w:rPr>
        <mc:AlternateContent>
          <mc:Choice Requires="wps">
            <w:drawing>
              <wp:anchor distT="0" distB="0" distL="114300" distR="114300" simplePos="0" relativeHeight="251663360" behindDoc="0" locked="0" layoutInCell="1" allowOverlap="1" wp14:anchorId="75807D0C" wp14:editId="5D4A31F7">
                <wp:simplePos x="0" y="0"/>
                <wp:positionH relativeFrom="column">
                  <wp:posOffset>0</wp:posOffset>
                </wp:positionH>
                <wp:positionV relativeFrom="paragraph">
                  <wp:posOffset>99060</wp:posOffset>
                </wp:positionV>
                <wp:extent cx="6696075" cy="0"/>
                <wp:effectExtent l="0" t="19050" r="9525"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96075" cy="0"/>
                        </a:xfrm>
                        <a:prstGeom prst="line">
                          <a:avLst/>
                        </a:prstGeom>
                        <a:noFill/>
                        <a:ln w="38100">
                          <a:solidFill>
                            <a:srgbClr val="000000"/>
                          </a:solidFill>
                          <a:round/>
                        </a:ln>
                      </wps:spPr>
                      <wps:bodyPr/>
                    </wps:wsp>
                  </a:graphicData>
                </a:graphic>
              </wp:anchor>
            </w:drawing>
          </mc:Choice>
          <mc:Fallback xmlns:wpsCustomData="http://www.wps.cn/officeDocument/2013/wpsCustomData" xmlns:w16du="http://schemas.microsoft.com/office/word/2023/wordml/word16du"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id="_x0000_s1026" o:spid="_x0000_s1026" o:spt="20" style="position:absolute;left:0pt;margin-left:0pt;margin-top:7.8pt;height:0pt;width:527.25pt;z-index:251663360;mso-width-relative:page;mso-height-relative:page;" filled="f" stroked="t" coordsize="21600,21600" o:gfxdata="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&#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MHr4dPRAAAABwEAAA8AAAAAAAAAAQAgAAAAIgAAAGRy&#10;cy9kb3ducmV2LnhtbFBLAQIUABQAAAAIAIdO4kAmP/ZN0wEAAK4DAAAOAAAAAAAAAAEAIAAAACAB&#10;AABkcnMvZTJvRG9jLnhtbFBLBQYAAAAABgAGAFkBAABlBQAAAAA=&#10;">
                <v:fill on="f" focussize="0,0"/>
                <v:stroke weight="3pt" color="#000000" joinstyle="round"/>
                <v:imagedata o:title=""/>
                <o:lock v:ext="edit" aspectratio="f"/>
              </v:line>
            </w:pict>
          </mc:Fallback>
        </mc:AlternateContent>
      </w:r>
    </w:p>
    <w:p w14:paraId="424ECA97" w14:textId="77777777" w:rsidR="0020333E" w:rsidRDefault="0020333E">
      <w:pPr>
        <w:jc w:val="both"/>
        <w:rPr>
          <w:rFonts w:ascii="Bookman Old Style" w:eastAsia="Bookman Old Style" w:hAnsi="Bookman Old Style" w:cs="Bookman Old Style"/>
          <w:b/>
        </w:rPr>
      </w:pPr>
    </w:p>
    <w:p w14:paraId="63BEEC21" w14:textId="77777777" w:rsidR="0020333E" w:rsidRDefault="0020333E">
      <w:pPr>
        <w:jc w:val="both"/>
        <w:rPr>
          <w:rFonts w:ascii="Bookman Old Style" w:eastAsia="Bookman Old Style" w:hAnsi="Bookman Old Style" w:cs="Bookman Old Style"/>
          <w:b/>
        </w:rPr>
      </w:pPr>
    </w:p>
    <w:p w14:paraId="2E758FB2" w14:textId="77777777" w:rsidR="0020333E" w:rsidRDefault="0055139F">
      <w:pPr>
        <w:jc w:val="both"/>
        <w:rPr>
          <w:rFonts w:ascii="Bookman Old Style" w:eastAsia="Bookman Old Style" w:hAnsi="Bookman Old Style" w:cs="Bookman Old Style"/>
          <w:b/>
        </w:rPr>
      </w:pPr>
      <w:r>
        <w:rPr>
          <w:rFonts w:ascii="Bookman Old Style" w:eastAsia="Bookman Old Style" w:hAnsi="Bookman Old Style" w:cs="Bookman Old Style"/>
          <w:b/>
        </w:rPr>
        <w:t>Contents</w:t>
      </w:r>
    </w:p>
    <w:p w14:paraId="6F16741B" w14:textId="77777777" w:rsidR="0020333E" w:rsidRDefault="0020333E">
      <w:pPr>
        <w:jc w:val="both"/>
        <w:rPr>
          <w:rFonts w:ascii="Bookman Old Style" w:eastAsia="Bookman Old Style" w:hAnsi="Bookman Old Style" w:cs="Bookman Old Style"/>
          <w:b/>
        </w:rPr>
      </w:pPr>
    </w:p>
    <w:p w14:paraId="4B7124D9" w14:textId="77777777" w:rsidR="0020333E" w:rsidRDefault="0055139F">
      <w:pPr>
        <w:spacing w:line="480"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1. Main points</w:t>
      </w:r>
    </w:p>
    <w:p w14:paraId="4E9F682E" w14:textId="77777777" w:rsidR="0020333E" w:rsidRDefault="0055139F">
      <w:pPr>
        <w:spacing w:line="480"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2. Things you need to note about this release</w:t>
      </w:r>
    </w:p>
    <w:p w14:paraId="546C9443" w14:textId="6DAC4B5B" w:rsidR="0020333E" w:rsidRDefault="0055139F">
      <w:pPr>
        <w:spacing w:line="480"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3. Quarterly real GDP growth: </w:t>
      </w:r>
      <w:bookmarkStart w:id="1" w:name="_Hlk132573496"/>
      <w:r w:rsidR="002E4EAB">
        <w:rPr>
          <w:rFonts w:ascii="Bookman Old Style" w:eastAsia="Bookman Old Style" w:hAnsi="Bookman Old Style" w:cs="Bookman Old Style"/>
          <w:sz w:val="22"/>
          <w:szCs w:val="22"/>
        </w:rPr>
        <w:t>October</w:t>
      </w:r>
      <w:r>
        <w:rPr>
          <w:rFonts w:ascii="Bookman Old Style" w:eastAsia="Bookman Old Style" w:hAnsi="Bookman Old Style" w:cs="Bookman Old Style"/>
          <w:sz w:val="22"/>
          <w:szCs w:val="22"/>
        </w:rPr>
        <w:t xml:space="preserve"> to </w:t>
      </w:r>
      <w:r w:rsidR="002E4EAB">
        <w:rPr>
          <w:rFonts w:ascii="Bookman Old Style" w:eastAsia="Bookman Old Style" w:hAnsi="Bookman Old Style" w:cs="Bookman Old Style"/>
          <w:sz w:val="22"/>
          <w:szCs w:val="22"/>
        </w:rPr>
        <w:t>December</w:t>
      </w:r>
      <w:r>
        <w:rPr>
          <w:rFonts w:ascii="Bookman Old Style" w:eastAsia="Bookman Old Style" w:hAnsi="Bookman Old Style" w:cs="Bookman Old Style"/>
          <w:sz w:val="22"/>
          <w:szCs w:val="22"/>
        </w:rPr>
        <w:t xml:space="preserve"> 2022</w:t>
      </w:r>
      <w:bookmarkEnd w:id="1"/>
    </w:p>
    <w:p w14:paraId="6480A93A" w14:textId="68439FCD" w:rsidR="0020333E" w:rsidRDefault="0055139F">
      <w:pPr>
        <w:spacing w:line="480"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4.  Real quarterly gross domestic product: </w:t>
      </w:r>
      <w:r w:rsidR="002E4EAB">
        <w:rPr>
          <w:rFonts w:ascii="Bookman Old Style" w:eastAsia="Bookman Old Style" w:hAnsi="Bookman Old Style" w:cs="Bookman Old Style"/>
          <w:sz w:val="22"/>
          <w:szCs w:val="22"/>
        </w:rPr>
        <w:t>October to December 2022</w:t>
      </w:r>
    </w:p>
    <w:p w14:paraId="36E8FC93" w14:textId="600A6215" w:rsidR="0020333E" w:rsidRDefault="0055139F">
      <w:pPr>
        <w:spacing w:line="480"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5. Nominal quarterly gross domestic product: </w:t>
      </w:r>
      <w:r w:rsidR="002E4EAB">
        <w:rPr>
          <w:rFonts w:ascii="Bookman Old Style" w:eastAsia="Bookman Old Style" w:hAnsi="Bookman Old Style" w:cs="Bookman Old Style"/>
          <w:sz w:val="22"/>
          <w:szCs w:val="22"/>
        </w:rPr>
        <w:t>October to December 2022</w:t>
      </w:r>
    </w:p>
    <w:p w14:paraId="232E5976" w14:textId="3171D8A7" w:rsidR="0020333E" w:rsidRDefault="0055139F">
      <w:pPr>
        <w:spacing w:line="480"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6. Sectoral shares of </w:t>
      </w:r>
      <w:r w:rsidR="002E4EAB">
        <w:rPr>
          <w:rFonts w:ascii="Bookman Old Style" w:eastAsia="Bookman Old Style" w:hAnsi="Bookman Old Style" w:cs="Bookman Old Style"/>
          <w:sz w:val="22"/>
          <w:szCs w:val="22"/>
        </w:rPr>
        <w:t>fourth</w:t>
      </w:r>
      <w:r>
        <w:rPr>
          <w:rFonts w:ascii="Bookman Old Style" w:eastAsia="Bookman Old Style" w:hAnsi="Bookman Old Style" w:cs="Bookman Old Style"/>
          <w:sz w:val="22"/>
          <w:szCs w:val="22"/>
        </w:rPr>
        <w:t xml:space="preserve"> quarter 2022 GDP</w:t>
      </w:r>
    </w:p>
    <w:p w14:paraId="442AD756" w14:textId="77777777" w:rsidR="0020333E" w:rsidRDefault="0055139F">
      <w:pPr>
        <w:spacing w:line="480"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7. Seasonally Adjusted GDP</w:t>
      </w:r>
    </w:p>
    <w:p w14:paraId="3A93E56B" w14:textId="77777777" w:rsidR="0020333E" w:rsidRDefault="0055139F">
      <w:pPr>
        <w:spacing w:line="276"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8. Appendix 1- Quarterly gross domestic product at current prices by economic activity and </w:t>
      </w:r>
    </w:p>
    <w:p w14:paraId="56D51848" w14:textId="77777777" w:rsidR="0020333E" w:rsidRDefault="0055139F">
      <w:pPr>
        <w:spacing w:line="276"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respective sectoral distribution</w:t>
      </w:r>
    </w:p>
    <w:p w14:paraId="481156E6" w14:textId="77777777" w:rsidR="0020333E" w:rsidRDefault="0020333E">
      <w:pPr>
        <w:jc w:val="both"/>
        <w:rPr>
          <w:rFonts w:ascii="Bookman Old Style" w:eastAsia="Bookman Old Style" w:hAnsi="Bookman Old Style" w:cs="Bookman Old Style"/>
          <w:sz w:val="22"/>
          <w:szCs w:val="22"/>
        </w:rPr>
      </w:pPr>
    </w:p>
    <w:p w14:paraId="5C3FA01A" w14:textId="77777777" w:rsidR="0020333E" w:rsidRDefault="0055139F">
      <w:pPr>
        <w:spacing w:line="276"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9. Appendix 2- Quarterly value added and GDP at constant 2013 prices by economic </w:t>
      </w:r>
    </w:p>
    <w:p w14:paraId="0FEDEA87" w14:textId="77777777" w:rsidR="0020333E" w:rsidRDefault="0055139F">
      <w:pPr>
        <w:spacing w:line="276"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Activity</w:t>
      </w:r>
    </w:p>
    <w:p w14:paraId="354AF1CB" w14:textId="77777777" w:rsidR="0020333E" w:rsidRDefault="0020333E">
      <w:pPr>
        <w:jc w:val="both"/>
        <w:rPr>
          <w:rFonts w:ascii="Bookman Old Style" w:eastAsia="Bookman Old Style" w:hAnsi="Bookman Old Style" w:cs="Bookman Old Style"/>
          <w:sz w:val="22"/>
          <w:szCs w:val="22"/>
        </w:rPr>
      </w:pPr>
    </w:p>
    <w:p w14:paraId="172ACDCB" w14:textId="77777777" w:rsidR="0020333E" w:rsidRDefault="0055139F">
      <w:pPr>
        <w:spacing w:line="276"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10. Appendix 3 - Seasonally adjusted quarterly value added and Gross Domestic Product </w:t>
      </w:r>
    </w:p>
    <w:p w14:paraId="60259E70" w14:textId="77777777" w:rsidR="0020333E" w:rsidRDefault="0055139F">
      <w:pPr>
        <w:spacing w:line="276" w:lineRule="auto"/>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at Constant 2013 prices by economic activity</w:t>
      </w:r>
    </w:p>
    <w:p w14:paraId="1E3C29A6" w14:textId="77777777" w:rsidR="0020333E" w:rsidRDefault="0055139F">
      <w:pPr>
        <w:tabs>
          <w:tab w:val="left" w:pos="3000"/>
        </w:tabs>
        <w:spacing w:line="480" w:lineRule="auto"/>
        <w:jc w:val="both"/>
        <w:rPr>
          <w:rFonts w:ascii="Bookman Old Style" w:eastAsia="Bookman Old Style" w:hAnsi="Bookman Old Style" w:cs="Bookman Old Style"/>
          <w:b/>
          <w:sz w:val="22"/>
          <w:szCs w:val="22"/>
        </w:rPr>
      </w:pPr>
      <w:r>
        <w:rPr>
          <w:rFonts w:ascii="Bookman Old Style" w:eastAsia="Bookman Old Style" w:hAnsi="Bookman Old Style" w:cs="Bookman Old Style"/>
          <w:b/>
          <w:sz w:val="22"/>
          <w:szCs w:val="22"/>
        </w:rPr>
        <w:tab/>
      </w:r>
    </w:p>
    <w:p w14:paraId="05167B8F" w14:textId="77777777" w:rsidR="0020333E" w:rsidRDefault="0020333E">
      <w:pPr>
        <w:tabs>
          <w:tab w:val="left" w:pos="3000"/>
        </w:tabs>
        <w:jc w:val="both"/>
        <w:rPr>
          <w:rFonts w:ascii="Bookman Old Style" w:eastAsia="Bookman Old Style" w:hAnsi="Bookman Old Style" w:cs="Bookman Old Style"/>
          <w:b/>
        </w:rPr>
      </w:pPr>
    </w:p>
    <w:p w14:paraId="4A8EBD8B" w14:textId="77777777" w:rsidR="0020333E" w:rsidRDefault="0020333E">
      <w:pPr>
        <w:tabs>
          <w:tab w:val="left" w:pos="3000"/>
        </w:tabs>
        <w:jc w:val="both"/>
        <w:rPr>
          <w:rFonts w:ascii="Bookman Old Style" w:eastAsia="Bookman Old Style" w:hAnsi="Bookman Old Style" w:cs="Bookman Old Style"/>
          <w:b/>
        </w:rPr>
      </w:pPr>
    </w:p>
    <w:p w14:paraId="610A57DC" w14:textId="77777777" w:rsidR="0020333E" w:rsidRDefault="0020333E">
      <w:pPr>
        <w:tabs>
          <w:tab w:val="left" w:pos="3000"/>
        </w:tabs>
        <w:jc w:val="both"/>
        <w:rPr>
          <w:rFonts w:ascii="Bookman Old Style" w:eastAsia="Bookman Old Style" w:hAnsi="Bookman Old Style" w:cs="Bookman Old Style"/>
          <w:b/>
        </w:rPr>
      </w:pPr>
    </w:p>
    <w:p w14:paraId="64D96F02" w14:textId="77777777" w:rsidR="0020333E" w:rsidRDefault="0020333E">
      <w:pPr>
        <w:tabs>
          <w:tab w:val="left" w:pos="3000"/>
        </w:tabs>
        <w:jc w:val="both"/>
        <w:rPr>
          <w:rFonts w:ascii="Bookman Old Style" w:eastAsia="Bookman Old Style" w:hAnsi="Bookman Old Style" w:cs="Bookman Old Style"/>
          <w:b/>
        </w:rPr>
      </w:pPr>
    </w:p>
    <w:p w14:paraId="048482A3" w14:textId="77777777" w:rsidR="0020333E" w:rsidRDefault="0020333E">
      <w:pPr>
        <w:tabs>
          <w:tab w:val="left" w:pos="3000"/>
        </w:tabs>
        <w:jc w:val="both"/>
        <w:rPr>
          <w:rFonts w:ascii="Bookman Old Style" w:eastAsia="Bookman Old Style" w:hAnsi="Bookman Old Style" w:cs="Bookman Old Style"/>
          <w:b/>
        </w:rPr>
      </w:pPr>
    </w:p>
    <w:p w14:paraId="6A9451B2" w14:textId="77777777" w:rsidR="0020333E" w:rsidRDefault="0020333E">
      <w:pPr>
        <w:tabs>
          <w:tab w:val="left" w:pos="3000"/>
        </w:tabs>
        <w:jc w:val="both"/>
        <w:rPr>
          <w:rFonts w:ascii="Bookman Old Style" w:eastAsia="Bookman Old Style" w:hAnsi="Bookman Old Style" w:cs="Bookman Old Style"/>
          <w:b/>
        </w:rPr>
      </w:pPr>
    </w:p>
    <w:p w14:paraId="570F197E" w14:textId="77777777" w:rsidR="0020333E" w:rsidRDefault="0020333E">
      <w:pPr>
        <w:tabs>
          <w:tab w:val="left" w:pos="3000"/>
        </w:tabs>
        <w:jc w:val="both"/>
        <w:rPr>
          <w:rFonts w:ascii="Bookman Old Style" w:eastAsia="Bookman Old Style" w:hAnsi="Bookman Old Style" w:cs="Bookman Old Style"/>
          <w:b/>
        </w:rPr>
      </w:pPr>
    </w:p>
    <w:p w14:paraId="7951CBF7" w14:textId="77777777" w:rsidR="0020333E" w:rsidRDefault="0020333E">
      <w:pPr>
        <w:tabs>
          <w:tab w:val="left" w:pos="3000"/>
        </w:tabs>
        <w:jc w:val="both"/>
        <w:rPr>
          <w:rFonts w:ascii="Bookman Old Style" w:eastAsia="Bookman Old Style" w:hAnsi="Bookman Old Style" w:cs="Bookman Old Style"/>
          <w:b/>
        </w:rPr>
      </w:pPr>
    </w:p>
    <w:p w14:paraId="520AB0B9" w14:textId="77777777" w:rsidR="0020333E" w:rsidRDefault="0020333E">
      <w:pPr>
        <w:tabs>
          <w:tab w:val="left" w:pos="3000"/>
        </w:tabs>
        <w:jc w:val="both"/>
        <w:rPr>
          <w:rFonts w:ascii="Bookman Old Style" w:eastAsia="Bookman Old Style" w:hAnsi="Bookman Old Style" w:cs="Bookman Old Style"/>
          <w:b/>
        </w:rPr>
      </w:pPr>
    </w:p>
    <w:p w14:paraId="7F2A9BEB" w14:textId="77777777" w:rsidR="0020333E" w:rsidRDefault="0020333E">
      <w:pPr>
        <w:tabs>
          <w:tab w:val="left" w:pos="3000"/>
        </w:tabs>
        <w:jc w:val="both"/>
        <w:rPr>
          <w:rFonts w:ascii="Bookman Old Style" w:eastAsia="Bookman Old Style" w:hAnsi="Bookman Old Style" w:cs="Bookman Old Style"/>
          <w:b/>
        </w:rPr>
      </w:pPr>
    </w:p>
    <w:p w14:paraId="20AC8A19" w14:textId="77777777" w:rsidR="0020333E" w:rsidRDefault="0020333E">
      <w:pPr>
        <w:tabs>
          <w:tab w:val="left" w:pos="3000"/>
        </w:tabs>
        <w:jc w:val="both"/>
        <w:rPr>
          <w:rFonts w:ascii="Bookman Old Style" w:eastAsia="Bookman Old Style" w:hAnsi="Bookman Old Style" w:cs="Bookman Old Style"/>
          <w:b/>
        </w:rPr>
      </w:pPr>
    </w:p>
    <w:p w14:paraId="163AA126" w14:textId="77777777" w:rsidR="0020333E" w:rsidRDefault="0020333E">
      <w:pPr>
        <w:tabs>
          <w:tab w:val="left" w:pos="3000"/>
        </w:tabs>
        <w:jc w:val="both"/>
        <w:rPr>
          <w:rFonts w:ascii="Bookman Old Style" w:eastAsia="Bookman Old Style" w:hAnsi="Bookman Old Style" w:cs="Bookman Old Style"/>
          <w:b/>
        </w:rPr>
      </w:pPr>
    </w:p>
    <w:p w14:paraId="6244EDE4" w14:textId="77777777" w:rsidR="0020333E" w:rsidRDefault="0020333E">
      <w:pPr>
        <w:tabs>
          <w:tab w:val="left" w:pos="3000"/>
        </w:tabs>
        <w:jc w:val="both"/>
        <w:rPr>
          <w:rFonts w:ascii="Bookman Old Style" w:eastAsia="Bookman Old Style" w:hAnsi="Bookman Old Style" w:cs="Bookman Old Style"/>
          <w:b/>
        </w:rPr>
      </w:pPr>
    </w:p>
    <w:p w14:paraId="096741C9" w14:textId="77777777" w:rsidR="0020333E" w:rsidRDefault="0055139F">
      <w:pPr>
        <w:jc w:val="both"/>
        <w:rPr>
          <w:rFonts w:ascii="Bookman Old Style" w:eastAsia="Bookman Old Style" w:hAnsi="Bookman Old Style" w:cs="Bookman Old Style"/>
          <w:b/>
        </w:rPr>
      </w:pPr>
      <w:r>
        <w:rPr>
          <w:rFonts w:ascii="Bookman Old Style" w:eastAsia="Bookman Old Style" w:hAnsi="Bookman Old Style" w:cs="Bookman Old Style"/>
          <w:b/>
        </w:rPr>
        <w:lastRenderedPageBreak/>
        <w:t>Main points</w:t>
      </w:r>
    </w:p>
    <w:p w14:paraId="59537C75" w14:textId="77777777" w:rsidR="0020333E" w:rsidRDefault="0020333E">
      <w:pPr>
        <w:jc w:val="both"/>
        <w:rPr>
          <w:rFonts w:ascii="Bookman Old Style" w:eastAsia="Bookman Old Style" w:hAnsi="Bookman Old Style" w:cs="Bookman Old Style"/>
          <w:b/>
        </w:rPr>
      </w:pPr>
    </w:p>
    <w:p w14:paraId="72DA766F" w14:textId="21334AD5" w:rsidR="0020333E" w:rsidRDefault="0055139F">
      <w:pPr>
        <w:numPr>
          <w:ilvl w:val="0"/>
          <w:numId w:val="1"/>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Ghana provisional real Gross Domestic Product (GDP) in volume terms was estimated to have increased by </w:t>
      </w:r>
      <w:r w:rsidR="00BB1463">
        <w:rPr>
          <w:rFonts w:ascii="Bookman Old Style" w:eastAsia="Bookman Old Style" w:hAnsi="Bookman Old Style" w:cs="Bookman Old Style"/>
        </w:rPr>
        <w:t>3.</w:t>
      </w:r>
      <w:r w:rsidR="00C3596E">
        <w:rPr>
          <w:rFonts w:ascii="Bookman Old Style" w:eastAsia="Bookman Old Style" w:hAnsi="Bookman Old Style" w:cs="Bookman Old Style"/>
        </w:rPr>
        <w:t>7</w:t>
      </w:r>
      <w:r>
        <w:rPr>
          <w:rFonts w:ascii="Bookman Old Style" w:eastAsia="Bookman Old Style" w:hAnsi="Bookman Old Style" w:cs="Bookman Old Style"/>
        </w:rPr>
        <w:t xml:space="preserve">% in quarter </w:t>
      </w:r>
      <w:r w:rsidR="00F05FED">
        <w:rPr>
          <w:rFonts w:ascii="Bookman Old Style" w:eastAsia="Bookman Old Style" w:hAnsi="Bookman Old Style" w:cs="Bookman Old Style"/>
        </w:rPr>
        <w:t>four</w:t>
      </w:r>
      <w:r>
        <w:rPr>
          <w:rFonts w:ascii="Bookman Old Style" w:eastAsia="Bookman Old Style" w:hAnsi="Bookman Old Style" w:cs="Bookman Old Style"/>
        </w:rPr>
        <w:t xml:space="preserve"> (</w:t>
      </w:r>
      <w:r w:rsidR="00BB1463">
        <w:rPr>
          <w:rFonts w:ascii="Bookman Old Style" w:eastAsia="Bookman Old Style" w:hAnsi="Bookman Old Style" w:cs="Bookman Old Style"/>
        </w:rPr>
        <w:t>October to December</w:t>
      </w:r>
      <w:r>
        <w:rPr>
          <w:rFonts w:ascii="Bookman Old Style" w:eastAsia="Bookman Old Style" w:hAnsi="Bookman Old Style" w:cs="Bookman Old Style"/>
        </w:rPr>
        <w:t>) of 2022 compared to the same period in 2021.</w:t>
      </w:r>
    </w:p>
    <w:p w14:paraId="41FE69AC" w14:textId="77777777" w:rsidR="0020333E" w:rsidRDefault="0020333E">
      <w:pPr>
        <w:ind w:left="360"/>
        <w:jc w:val="both"/>
        <w:rPr>
          <w:rFonts w:ascii="Bookman Old Style" w:eastAsia="Bookman Old Style" w:hAnsi="Bookman Old Style" w:cs="Bookman Old Style"/>
        </w:rPr>
      </w:pPr>
    </w:p>
    <w:p w14:paraId="5828D44F" w14:textId="5391E1EE" w:rsidR="0020333E" w:rsidRDefault="0055139F">
      <w:pPr>
        <w:numPr>
          <w:ilvl w:val="0"/>
          <w:numId w:val="1"/>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When seasonally adjusted, Ghana real GDP increased by 0.</w:t>
      </w:r>
      <w:r w:rsidR="00BB1463">
        <w:rPr>
          <w:rFonts w:ascii="Bookman Old Style" w:eastAsia="Bookman Old Style" w:hAnsi="Bookman Old Style" w:cs="Bookman Old Style"/>
        </w:rPr>
        <w:t>8</w:t>
      </w:r>
      <w:r>
        <w:rPr>
          <w:rFonts w:ascii="Bookman Old Style" w:eastAsia="Bookman Old Style" w:hAnsi="Bookman Old Style" w:cs="Bookman Old Style"/>
        </w:rPr>
        <w:t xml:space="preserve">% in quarter </w:t>
      </w:r>
      <w:r w:rsidR="00BB1463">
        <w:rPr>
          <w:rFonts w:ascii="Bookman Old Style" w:eastAsia="Bookman Old Style" w:hAnsi="Bookman Old Style" w:cs="Bookman Old Style"/>
        </w:rPr>
        <w:t>four</w:t>
      </w:r>
      <w:r>
        <w:rPr>
          <w:rFonts w:ascii="Bookman Old Style" w:eastAsia="Bookman Old Style" w:hAnsi="Bookman Old Style" w:cs="Bookman Old Style"/>
        </w:rPr>
        <w:t xml:space="preserve"> (</w:t>
      </w:r>
      <w:r w:rsidR="00BB1463">
        <w:rPr>
          <w:rFonts w:ascii="Bookman Old Style" w:eastAsia="Bookman Old Style" w:hAnsi="Bookman Old Style" w:cs="Bookman Old Style"/>
        </w:rPr>
        <w:t>October to December</w:t>
      </w:r>
      <w:r>
        <w:rPr>
          <w:rFonts w:ascii="Bookman Old Style" w:eastAsia="Bookman Old Style" w:hAnsi="Bookman Old Style" w:cs="Bookman Old Style"/>
        </w:rPr>
        <w:t>) of 2022; 0.</w:t>
      </w:r>
      <w:r w:rsidR="007D5458">
        <w:rPr>
          <w:rFonts w:ascii="Bookman Old Style" w:eastAsia="Bookman Old Style" w:hAnsi="Bookman Old Style" w:cs="Bookman Old Style"/>
        </w:rPr>
        <w:t>3</w:t>
      </w:r>
      <w:r>
        <w:rPr>
          <w:rFonts w:ascii="Bookman Old Style" w:eastAsia="Bookman Old Style" w:hAnsi="Bookman Old Style" w:cs="Bookman Old Style"/>
        </w:rPr>
        <w:t xml:space="preserve"> percentage points </w:t>
      </w:r>
      <w:r w:rsidR="004C1033">
        <w:rPr>
          <w:rFonts w:ascii="Bookman Old Style" w:eastAsia="Bookman Old Style" w:hAnsi="Bookman Old Style" w:cs="Bookman Old Style"/>
        </w:rPr>
        <w:t>higher</w:t>
      </w:r>
      <w:r>
        <w:rPr>
          <w:rFonts w:ascii="Bookman Old Style" w:eastAsia="Bookman Old Style" w:hAnsi="Bookman Old Style" w:cs="Bookman Old Style"/>
        </w:rPr>
        <w:t xml:space="preserve"> than what was recorded in quarter </w:t>
      </w:r>
      <w:r w:rsidR="004C5AE1">
        <w:rPr>
          <w:rFonts w:ascii="Bookman Old Style" w:eastAsia="Bookman Old Style" w:hAnsi="Bookman Old Style" w:cs="Bookman Old Style"/>
        </w:rPr>
        <w:t>three</w:t>
      </w:r>
      <w:r>
        <w:rPr>
          <w:rFonts w:ascii="Bookman Old Style" w:eastAsia="Bookman Old Style" w:hAnsi="Bookman Old Style" w:cs="Bookman Old Style"/>
        </w:rPr>
        <w:t xml:space="preserve"> (</w:t>
      </w:r>
      <w:r w:rsidR="00BB1463">
        <w:rPr>
          <w:rFonts w:ascii="Bookman Old Style" w:eastAsia="Bookman Old Style" w:hAnsi="Bookman Old Style" w:cs="Bookman Old Style"/>
        </w:rPr>
        <w:t>July to September</w:t>
      </w:r>
      <w:r>
        <w:rPr>
          <w:rFonts w:ascii="Bookman Old Style" w:eastAsia="Bookman Old Style" w:hAnsi="Bookman Old Style" w:cs="Bookman Old Style"/>
        </w:rPr>
        <w:t>) of 2022.</w:t>
      </w:r>
    </w:p>
    <w:p w14:paraId="3165B8F6" w14:textId="77777777" w:rsidR="0020333E" w:rsidRDefault="0020333E">
      <w:pPr>
        <w:pStyle w:val="ListParagraph"/>
        <w:rPr>
          <w:rFonts w:ascii="Bookman Old Style" w:eastAsia="Bookman Old Style" w:hAnsi="Bookman Old Style" w:cs="Bookman Old Style"/>
        </w:rPr>
      </w:pPr>
    </w:p>
    <w:p w14:paraId="26757C2D" w14:textId="25446DC3" w:rsidR="0020333E" w:rsidRDefault="0055139F">
      <w:pPr>
        <w:numPr>
          <w:ilvl w:val="0"/>
          <w:numId w:val="1"/>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The Mining &amp; Quarrying, Information &amp; Communication, </w:t>
      </w:r>
      <w:r w:rsidR="005764B8" w:rsidRPr="005764B8">
        <w:rPr>
          <w:rFonts w:ascii="Bookman Old Style" w:eastAsia="Bookman Old Style" w:hAnsi="Bookman Old Style" w:cs="Bookman Old Style"/>
        </w:rPr>
        <w:t>Public Administration, Defense &amp; Social Security</w:t>
      </w:r>
      <w:r w:rsidR="005764B8">
        <w:rPr>
          <w:rFonts w:ascii="Bookman Old Style" w:eastAsia="Bookman Old Style" w:hAnsi="Bookman Old Style" w:cs="Bookman Old Style"/>
        </w:rPr>
        <w:t xml:space="preserve">, </w:t>
      </w:r>
      <w:r>
        <w:rPr>
          <w:rFonts w:ascii="Bookman Old Style" w:eastAsia="Bookman Old Style" w:hAnsi="Bookman Old Style" w:cs="Bookman Old Style"/>
        </w:rPr>
        <w:t xml:space="preserve">Crops, and </w:t>
      </w:r>
      <w:r w:rsidR="000B3E76">
        <w:rPr>
          <w:rFonts w:ascii="Bookman Old Style" w:eastAsia="Bookman Old Style" w:hAnsi="Bookman Old Style" w:cs="Bookman Old Style"/>
        </w:rPr>
        <w:t>Education</w:t>
      </w:r>
      <w:r>
        <w:rPr>
          <w:rFonts w:ascii="Bookman Old Style" w:eastAsia="Bookman Old Style" w:hAnsi="Bookman Old Style" w:cs="Bookman Old Style"/>
        </w:rPr>
        <w:t xml:space="preserve"> sub-sectors were the main drivers of GDP growth for the </w:t>
      </w:r>
      <w:r w:rsidR="005764B8">
        <w:rPr>
          <w:rFonts w:ascii="Bookman Old Style" w:eastAsia="Bookman Old Style" w:hAnsi="Bookman Old Style" w:cs="Bookman Old Style"/>
        </w:rPr>
        <w:t>fourth</w:t>
      </w:r>
      <w:r>
        <w:rPr>
          <w:rFonts w:ascii="Bookman Old Style" w:eastAsia="Bookman Old Style" w:hAnsi="Bookman Old Style" w:cs="Bookman Old Style"/>
        </w:rPr>
        <w:t xml:space="preserve"> quarter of 2022.  </w:t>
      </w:r>
    </w:p>
    <w:p w14:paraId="042996C7" w14:textId="77777777" w:rsidR="0020333E" w:rsidRDefault="0020333E">
      <w:pPr>
        <w:spacing w:line="276" w:lineRule="auto"/>
        <w:ind w:left="360"/>
        <w:jc w:val="both"/>
        <w:rPr>
          <w:rFonts w:ascii="Bookman Old Style" w:eastAsia="Bookman Old Style" w:hAnsi="Bookman Old Style" w:cs="Bookman Old Style"/>
        </w:rPr>
      </w:pPr>
    </w:p>
    <w:p w14:paraId="4A8A0E42" w14:textId="66103A30" w:rsidR="0020333E" w:rsidRDefault="0055139F">
      <w:pPr>
        <w:numPr>
          <w:ilvl w:val="0"/>
          <w:numId w:val="1"/>
        </w:numPr>
        <w:spacing w:line="276" w:lineRule="auto"/>
        <w:jc w:val="both"/>
      </w:pPr>
      <w:r>
        <w:rPr>
          <w:rFonts w:ascii="Bookman Old Style" w:eastAsia="Bookman Old Style" w:hAnsi="Bookman Old Style" w:cs="Bookman Old Style"/>
        </w:rPr>
        <w:t xml:space="preserve">Main sub-sectors with more than 10 percentage expansion in quarter </w:t>
      </w:r>
      <w:r w:rsidR="00743AAF">
        <w:rPr>
          <w:rFonts w:ascii="Bookman Old Style" w:eastAsia="Bookman Old Style" w:hAnsi="Bookman Old Style" w:cs="Bookman Old Style"/>
        </w:rPr>
        <w:t>four</w:t>
      </w:r>
      <w:r>
        <w:rPr>
          <w:rFonts w:ascii="Bookman Old Style" w:eastAsia="Bookman Old Style" w:hAnsi="Bookman Old Style" w:cs="Bookman Old Style"/>
        </w:rPr>
        <w:t xml:space="preserve"> of 2022 are: </w:t>
      </w:r>
    </w:p>
    <w:p w14:paraId="2D51DC22" w14:textId="3147BFE3" w:rsidR="0020333E" w:rsidRDefault="0055139F">
      <w:pPr>
        <w:numPr>
          <w:ilvl w:val="1"/>
          <w:numId w:val="2"/>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Information &amp; Communication (</w:t>
      </w:r>
      <w:r w:rsidR="004C5AE1">
        <w:rPr>
          <w:rFonts w:ascii="Bookman Old Style" w:eastAsia="Bookman Old Style" w:hAnsi="Bookman Old Style" w:cs="Bookman Old Style"/>
        </w:rPr>
        <w:t>20.5</w:t>
      </w:r>
      <w:r>
        <w:rPr>
          <w:rFonts w:ascii="Bookman Old Style" w:eastAsia="Bookman Old Style" w:hAnsi="Bookman Old Style" w:cs="Bookman Old Style"/>
        </w:rPr>
        <w:t>%)</w:t>
      </w:r>
    </w:p>
    <w:p w14:paraId="47535270" w14:textId="1A57255F" w:rsidR="004C5AE1" w:rsidRDefault="004C5AE1">
      <w:pPr>
        <w:numPr>
          <w:ilvl w:val="1"/>
          <w:numId w:val="2"/>
        </w:numPr>
        <w:spacing w:line="276" w:lineRule="auto"/>
        <w:jc w:val="both"/>
        <w:rPr>
          <w:rFonts w:ascii="Bookman Old Style" w:eastAsia="Bookman Old Style" w:hAnsi="Bookman Old Style" w:cs="Bookman Old Style"/>
        </w:rPr>
      </w:pPr>
      <w:r w:rsidRPr="005764B8">
        <w:rPr>
          <w:rFonts w:ascii="Bookman Old Style" w:eastAsia="Bookman Old Style" w:hAnsi="Bookman Old Style" w:cs="Bookman Old Style"/>
        </w:rPr>
        <w:t>Public Administration, Defense &amp; Social Security</w:t>
      </w:r>
      <w:r>
        <w:rPr>
          <w:rFonts w:ascii="Bookman Old Style" w:eastAsia="Bookman Old Style" w:hAnsi="Bookman Old Style" w:cs="Bookman Old Style"/>
        </w:rPr>
        <w:t xml:space="preserve"> (15.7%)</w:t>
      </w:r>
    </w:p>
    <w:p w14:paraId="42476EF8" w14:textId="77777777" w:rsidR="00EE246D" w:rsidRDefault="00EE246D" w:rsidP="00EE246D">
      <w:pPr>
        <w:numPr>
          <w:ilvl w:val="1"/>
          <w:numId w:val="2"/>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Mining &amp; Quarrying (13.4%)</w:t>
      </w:r>
    </w:p>
    <w:p w14:paraId="13917751" w14:textId="63FA4EE9" w:rsidR="004C5AE1" w:rsidRDefault="004C5AE1">
      <w:pPr>
        <w:numPr>
          <w:ilvl w:val="1"/>
          <w:numId w:val="2"/>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Education (12.3%)</w:t>
      </w:r>
    </w:p>
    <w:p w14:paraId="10C5AC2D" w14:textId="0BE7B532" w:rsidR="004C5AE1" w:rsidRDefault="004C5AE1">
      <w:pPr>
        <w:numPr>
          <w:ilvl w:val="1"/>
          <w:numId w:val="2"/>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Health &amp; Social Work (10.5%)</w:t>
      </w:r>
    </w:p>
    <w:p w14:paraId="759B6D30" w14:textId="77777777" w:rsidR="0020333E" w:rsidRDefault="0020333E">
      <w:pPr>
        <w:spacing w:line="276" w:lineRule="auto"/>
        <w:ind w:left="1080"/>
        <w:jc w:val="both"/>
        <w:rPr>
          <w:rFonts w:ascii="Bookman Old Style" w:eastAsia="Bookman Old Style" w:hAnsi="Bookman Old Style" w:cs="Bookman Old Style"/>
        </w:rPr>
      </w:pPr>
    </w:p>
    <w:p w14:paraId="66B8B549" w14:textId="398B5E99" w:rsidR="0020333E" w:rsidRDefault="003953D1">
      <w:pPr>
        <w:numPr>
          <w:ilvl w:val="0"/>
          <w:numId w:val="1"/>
        </w:numPr>
        <w:spacing w:line="276" w:lineRule="auto"/>
        <w:jc w:val="both"/>
      </w:pPr>
      <w:r w:rsidRPr="003953D1">
        <w:rPr>
          <w:rFonts w:ascii="Bookman Old Style" w:eastAsia="Bookman Old Style" w:hAnsi="Bookman Old Style" w:cs="Bookman Old Style"/>
        </w:rPr>
        <w:t>Seven</w:t>
      </w:r>
      <w:r w:rsidR="0055139F" w:rsidRPr="003953D1">
        <w:rPr>
          <w:rFonts w:ascii="Bookman Old Style" w:eastAsia="Bookman Old Style" w:hAnsi="Bookman Old Style" w:cs="Bookman Old Style"/>
        </w:rPr>
        <w:t xml:space="preserve"> </w:t>
      </w:r>
      <w:r w:rsidR="0055139F">
        <w:rPr>
          <w:rFonts w:ascii="Bookman Old Style" w:eastAsia="Bookman Old Style" w:hAnsi="Bookman Old Style" w:cs="Bookman Old Style"/>
        </w:rPr>
        <w:t xml:space="preserve">sub-sectors contracted in quarter </w:t>
      </w:r>
      <w:r w:rsidR="00743AAF">
        <w:rPr>
          <w:rFonts w:ascii="Bookman Old Style" w:eastAsia="Bookman Old Style" w:hAnsi="Bookman Old Style" w:cs="Bookman Old Style"/>
        </w:rPr>
        <w:t>four</w:t>
      </w:r>
      <w:r w:rsidR="0055139F">
        <w:rPr>
          <w:rFonts w:ascii="Bookman Old Style" w:eastAsia="Bookman Old Style" w:hAnsi="Bookman Old Style" w:cs="Bookman Old Style"/>
        </w:rPr>
        <w:t xml:space="preserve"> of 2022. These are:</w:t>
      </w:r>
    </w:p>
    <w:p w14:paraId="76C094A1" w14:textId="30627FD4" w:rsidR="00743AAF" w:rsidRDefault="00743AAF" w:rsidP="00743AAF">
      <w:pPr>
        <w:numPr>
          <w:ilvl w:val="1"/>
          <w:numId w:val="3"/>
        </w:numPr>
        <w:spacing w:line="276" w:lineRule="auto"/>
        <w:jc w:val="both"/>
        <w:rPr>
          <w:rFonts w:ascii="Bookman Old Style" w:eastAsia="Bookman Old Style" w:hAnsi="Bookman Old Style" w:cs="Bookman Old Style"/>
        </w:rPr>
      </w:pPr>
      <w:r w:rsidRPr="00743AAF">
        <w:rPr>
          <w:rFonts w:ascii="Bookman Old Style" w:eastAsia="Bookman Old Style" w:hAnsi="Bookman Old Style" w:cs="Bookman Old Style"/>
        </w:rPr>
        <w:t>Water Supply, Sewerage, Waste Management &amp; Remediation Activities</w:t>
      </w:r>
      <w:r w:rsidR="000B3E76">
        <w:rPr>
          <w:rFonts w:ascii="Bookman Old Style" w:eastAsia="Bookman Old Style" w:hAnsi="Bookman Old Style" w:cs="Bookman Old Style"/>
        </w:rPr>
        <w:t xml:space="preserve">      </w:t>
      </w:r>
      <w:r>
        <w:rPr>
          <w:rFonts w:ascii="Bookman Old Style" w:eastAsia="Bookman Old Style" w:hAnsi="Bookman Old Style" w:cs="Bookman Old Style"/>
        </w:rPr>
        <w:t xml:space="preserve"> (-13.4%)</w:t>
      </w:r>
      <w:r w:rsidRPr="00743AAF">
        <w:rPr>
          <w:rFonts w:ascii="Bookman Old Style" w:eastAsia="Bookman Old Style" w:hAnsi="Bookman Old Style" w:cs="Bookman Old Style"/>
        </w:rPr>
        <w:t xml:space="preserve"> </w:t>
      </w:r>
    </w:p>
    <w:p w14:paraId="13695B06" w14:textId="76B0C69E" w:rsidR="00743AAF" w:rsidRDefault="00743AAF" w:rsidP="00743AAF">
      <w:pPr>
        <w:numPr>
          <w:ilvl w:val="1"/>
          <w:numId w:val="3"/>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Real Estate (-13.4%)</w:t>
      </w:r>
    </w:p>
    <w:p w14:paraId="399E1DC5" w14:textId="77777777" w:rsidR="00743AAF" w:rsidRDefault="00743AAF" w:rsidP="00743AAF">
      <w:pPr>
        <w:numPr>
          <w:ilvl w:val="1"/>
          <w:numId w:val="3"/>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Electricity (-12.8%).</w:t>
      </w:r>
    </w:p>
    <w:p w14:paraId="34B6DDD8" w14:textId="489F153E" w:rsidR="00743AAF" w:rsidRPr="00743AAF" w:rsidRDefault="00743AAF" w:rsidP="00743AAF">
      <w:pPr>
        <w:numPr>
          <w:ilvl w:val="1"/>
          <w:numId w:val="3"/>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Manufacturing (-9.6%)</w:t>
      </w:r>
    </w:p>
    <w:p w14:paraId="1C433C7C" w14:textId="77777777" w:rsidR="00743AAF" w:rsidRDefault="00743AAF" w:rsidP="00743AAF">
      <w:pPr>
        <w:numPr>
          <w:ilvl w:val="1"/>
          <w:numId w:val="3"/>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Professional, Administrative &amp; Support Service activities (-7.7%)</w:t>
      </w:r>
    </w:p>
    <w:p w14:paraId="3A426E58" w14:textId="00044109" w:rsidR="007D5458" w:rsidRDefault="007D5458" w:rsidP="007D5458">
      <w:pPr>
        <w:numPr>
          <w:ilvl w:val="1"/>
          <w:numId w:val="3"/>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Construction (-</w:t>
      </w:r>
      <w:r w:rsidR="00743AAF">
        <w:rPr>
          <w:rFonts w:ascii="Bookman Old Style" w:eastAsia="Bookman Old Style" w:hAnsi="Bookman Old Style" w:cs="Bookman Old Style"/>
        </w:rPr>
        <w:t>7.1</w:t>
      </w:r>
      <w:r>
        <w:rPr>
          <w:rFonts w:ascii="Bookman Old Style" w:eastAsia="Bookman Old Style" w:hAnsi="Bookman Old Style" w:cs="Bookman Old Style"/>
        </w:rPr>
        <w:t>%)</w:t>
      </w:r>
    </w:p>
    <w:p w14:paraId="49577D29" w14:textId="6AC3FFA3" w:rsidR="0020333E" w:rsidRPr="00743AAF" w:rsidRDefault="00743AAF" w:rsidP="00743AAF">
      <w:pPr>
        <w:numPr>
          <w:ilvl w:val="1"/>
          <w:numId w:val="3"/>
        </w:numPr>
        <w:spacing w:line="276" w:lineRule="auto"/>
        <w:jc w:val="both"/>
        <w:rPr>
          <w:rFonts w:ascii="Bookman Old Style" w:eastAsia="Bookman Old Style" w:hAnsi="Bookman Old Style" w:cs="Bookman Old Style"/>
        </w:rPr>
      </w:pPr>
      <w:r w:rsidRPr="00743AAF">
        <w:rPr>
          <w:rFonts w:ascii="Bookman Old Style" w:eastAsia="Bookman Old Style" w:hAnsi="Bookman Old Style" w:cs="Bookman Old Style"/>
        </w:rPr>
        <w:t xml:space="preserve">Fishing </w:t>
      </w:r>
      <w:r w:rsidR="0055139F" w:rsidRPr="00743AAF">
        <w:rPr>
          <w:rFonts w:ascii="Bookman Old Style" w:eastAsia="Bookman Old Style" w:hAnsi="Bookman Old Style" w:cs="Bookman Old Style"/>
        </w:rPr>
        <w:t>(</w:t>
      </w:r>
      <w:r>
        <w:rPr>
          <w:rFonts w:ascii="Bookman Old Style" w:eastAsia="Bookman Old Style" w:hAnsi="Bookman Old Style" w:cs="Bookman Old Style"/>
        </w:rPr>
        <w:t>-1.5</w:t>
      </w:r>
      <w:r w:rsidR="0055139F" w:rsidRPr="00743AAF">
        <w:rPr>
          <w:rFonts w:ascii="Bookman Old Style" w:eastAsia="Bookman Old Style" w:hAnsi="Bookman Old Style" w:cs="Bookman Old Style"/>
        </w:rPr>
        <w:t>%)</w:t>
      </w:r>
    </w:p>
    <w:p w14:paraId="0F8614C2" w14:textId="77777777" w:rsidR="0020333E" w:rsidRDefault="0020333E">
      <w:pPr>
        <w:tabs>
          <w:tab w:val="left" w:pos="3000"/>
        </w:tabs>
        <w:jc w:val="both"/>
        <w:rPr>
          <w:rFonts w:ascii="Bookman Old Style" w:eastAsia="Bookman Old Style" w:hAnsi="Bookman Old Style" w:cs="Bookman Old Style"/>
          <w:b/>
        </w:rPr>
      </w:pPr>
    </w:p>
    <w:p w14:paraId="25D7114C" w14:textId="0CA6DDC7" w:rsidR="0020333E" w:rsidRDefault="0055139F">
      <w:pPr>
        <w:tabs>
          <w:tab w:val="left" w:pos="3000"/>
        </w:tabs>
        <w:jc w:val="both"/>
        <w:rPr>
          <w:rFonts w:ascii="Bookman Old Style" w:eastAsia="Bookman Old Style" w:hAnsi="Bookman Old Style" w:cs="Bookman Old Style"/>
          <w:b/>
        </w:rPr>
      </w:pPr>
      <w:r>
        <w:rPr>
          <w:rFonts w:ascii="Bookman Old Style" w:eastAsia="Bookman Old Style" w:hAnsi="Bookman Old Style" w:cs="Bookman Old Style"/>
          <w:b/>
        </w:rPr>
        <w:t xml:space="preserve">Things you need to note about this </w:t>
      </w:r>
      <w:r w:rsidR="00023F17">
        <w:rPr>
          <w:rFonts w:ascii="Bookman Old Style" w:eastAsia="Bookman Old Style" w:hAnsi="Bookman Old Style" w:cs="Bookman Old Style"/>
          <w:b/>
        </w:rPr>
        <w:t>release.</w:t>
      </w:r>
    </w:p>
    <w:p w14:paraId="46BF5AA3" w14:textId="77777777" w:rsidR="0020333E" w:rsidRDefault="0020333E">
      <w:pPr>
        <w:tabs>
          <w:tab w:val="left" w:pos="3000"/>
        </w:tabs>
        <w:jc w:val="both"/>
        <w:rPr>
          <w:rFonts w:ascii="Bookman Old Style" w:eastAsia="Bookman Old Style" w:hAnsi="Bookman Old Style" w:cs="Bookman Old Style"/>
          <w:b/>
        </w:rPr>
      </w:pPr>
    </w:p>
    <w:p w14:paraId="36050ABD" w14:textId="77777777" w:rsidR="0020333E" w:rsidRDefault="0055139F">
      <w:pPr>
        <w:tabs>
          <w:tab w:val="left" w:pos="3000"/>
        </w:tabs>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Gross Domestic Product (GDP) growth is the main indicator of economic performance. There are three approaches used to measure GDP: the output approach, the expenditure approach, and the income approach. </w:t>
      </w:r>
    </w:p>
    <w:p w14:paraId="7A79C13C" w14:textId="77777777" w:rsidR="0020333E" w:rsidRDefault="0020333E">
      <w:pPr>
        <w:tabs>
          <w:tab w:val="left" w:pos="3000"/>
        </w:tabs>
        <w:jc w:val="both"/>
        <w:rPr>
          <w:rFonts w:ascii="Bookman Old Style" w:eastAsia="Bookman Old Style" w:hAnsi="Bookman Old Style" w:cs="Bookman Old Style"/>
        </w:rPr>
      </w:pPr>
    </w:p>
    <w:p w14:paraId="3FBCF8CD" w14:textId="1C0D72AC" w:rsidR="0020333E" w:rsidRDefault="0055139F">
      <w:p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This Statistical Release contains independently compiled quarterly estimates of the Gross Domestic Product (GDP) for the </w:t>
      </w:r>
      <w:r w:rsidR="00AF213B">
        <w:rPr>
          <w:rFonts w:ascii="Bookman Old Style" w:eastAsia="Bookman Old Style" w:hAnsi="Bookman Old Style" w:cs="Bookman Old Style"/>
        </w:rPr>
        <w:t>4</w:t>
      </w:r>
      <w:r w:rsidR="00AF213B" w:rsidRPr="00AF213B">
        <w:rPr>
          <w:rFonts w:ascii="Bookman Old Style" w:eastAsia="Bookman Old Style" w:hAnsi="Bookman Old Style" w:cs="Bookman Old Style"/>
          <w:vertAlign w:val="superscript"/>
        </w:rPr>
        <w:t>th</w:t>
      </w:r>
      <w:r>
        <w:rPr>
          <w:rFonts w:ascii="Bookman Old Style" w:eastAsia="Bookman Old Style" w:hAnsi="Bookman Old Style" w:cs="Bookman Old Style"/>
        </w:rPr>
        <w:t xml:space="preserve"> quarter of 2022 using the production approach. The estimates are based on the 2008 System of National Accounts (SNA), the International Standard Industrial Classification (Rev.4) published by the United Nations, and the Quarterly National Accounts Manual: Concepts, Data Sources and Compilation prepared by the International Monetary Fund (IMF). This means that the methodology, concepts, and classifications are in accordance with the guidelines </w:t>
      </w:r>
      <w:r>
        <w:rPr>
          <w:rFonts w:ascii="Bookman Old Style" w:eastAsia="Bookman Old Style" w:hAnsi="Bookman Old Style" w:cs="Bookman Old Style"/>
        </w:rPr>
        <w:lastRenderedPageBreak/>
        <w:t>and recommendations of an internationally agreed system of national accounts. The estimates of real GDP are expressed in terms of the base year, 2013</w:t>
      </w:r>
      <w:r w:rsidR="006C2863">
        <w:rPr>
          <w:rFonts w:ascii="Bookman Old Style" w:eastAsia="Bookman Old Style" w:hAnsi="Bookman Old Style" w:cs="Bookman Old Style"/>
        </w:rPr>
        <w:t xml:space="preserve">. </w:t>
      </w:r>
      <w:r>
        <w:rPr>
          <w:rFonts w:ascii="Bookman Old Style" w:eastAsia="Bookman Old Style" w:hAnsi="Bookman Old Style" w:cs="Bookman Old Style"/>
        </w:rPr>
        <w:t xml:space="preserve">The Annual GDP estimates are derived independent of the quarterly estimates. Short-term indicators are used to estimate the quarterly GDP (see IMF’s Quarterly National Accounts Manual: Concepts, Data Sources and Compilation) and benchmarked to the annual GDP. </w:t>
      </w:r>
    </w:p>
    <w:p w14:paraId="4FA1B015" w14:textId="77777777" w:rsidR="0020333E" w:rsidRDefault="0020333E">
      <w:pPr>
        <w:spacing w:line="276" w:lineRule="auto"/>
        <w:jc w:val="both"/>
        <w:rPr>
          <w:rFonts w:ascii="Bookman Old Style" w:eastAsia="Bookman Old Style" w:hAnsi="Bookman Old Style" w:cs="Bookman Old Style"/>
        </w:rPr>
      </w:pPr>
    </w:p>
    <w:p w14:paraId="08ECE6C8" w14:textId="77777777" w:rsidR="0020333E" w:rsidRDefault="0055139F">
      <w:p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b/>
        </w:rPr>
        <w:t xml:space="preserve">Current or Nominal GDP </w:t>
      </w:r>
      <w:r>
        <w:rPr>
          <w:rFonts w:ascii="Bookman Old Style" w:eastAsia="Bookman Old Style" w:hAnsi="Bookman Old Style" w:cs="Bookman Old Style"/>
        </w:rPr>
        <w:t>is the value of final goods and services evaluated at current quarter prices.</w:t>
      </w:r>
    </w:p>
    <w:p w14:paraId="035E2F45" w14:textId="77777777" w:rsidR="0020333E" w:rsidRDefault="0020333E">
      <w:pPr>
        <w:spacing w:line="276" w:lineRule="auto"/>
        <w:jc w:val="both"/>
        <w:rPr>
          <w:rFonts w:ascii="Bookman Old Style" w:eastAsia="Bookman Old Style" w:hAnsi="Bookman Old Style" w:cs="Bookman Old Style"/>
        </w:rPr>
      </w:pPr>
    </w:p>
    <w:p w14:paraId="4F482EC6" w14:textId="5C5620C0" w:rsidR="0020333E" w:rsidRDefault="0055139F">
      <w:p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b/>
        </w:rPr>
        <w:t xml:space="preserve">Constant or Real GDP </w:t>
      </w:r>
      <w:r>
        <w:rPr>
          <w:rFonts w:ascii="Bookman Old Style" w:eastAsia="Bookman Old Style" w:hAnsi="Bookman Old Style" w:cs="Bookman Old Style"/>
        </w:rPr>
        <w:t xml:space="preserve">is the value of final goods and services evaluated at base year prices. In Ghana, the base year is 2013. By using the prices from the base-year (or holding prices constant over time), we eliminate the impact of rising prices on GDP </w:t>
      </w:r>
      <w:r w:rsidR="00497287">
        <w:rPr>
          <w:rFonts w:ascii="Bookman Old Style" w:eastAsia="Bookman Old Style" w:hAnsi="Bookman Old Style" w:cs="Bookman Old Style"/>
        </w:rPr>
        <w:t>to</w:t>
      </w:r>
      <w:r>
        <w:rPr>
          <w:rFonts w:ascii="Bookman Old Style" w:eastAsia="Bookman Old Style" w:hAnsi="Bookman Old Style" w:cs="Bookman Old Style"/>
        </w:rPr>
        <w:t xml:space="preserve"> get a measure of “Real” economic activity.</w:t>
      </w:r>
    </w:p>
    <w:p w14:paraId="1F37516D" w14:textId="77777777" w:rsidR="0020333E" w:rsidRDefault="0020333E">
      <w:pPr>
        <w:spacing w:line="276" w:lineRule="auto"/>
        <w:jc w:val="both"/>
        <w:rPr>
          <w:rFonts w:ascii="Bookman Old Style" w:eastAsia="Bookman Old Style" w:hAnsi="Bookman Old Style" w:cs="Bookman Old Style"/>
        </w:rPr>
      </w:pPr>
    </w:p>
    <w:p w14:paraId="283B80DD" w14:textId="77777777" w:rsidR="0020333E" w:rsidRDefault="0055139F">
      <w:pPr>
        <w:jc w:val="both"/>
        <w:rPr>
          <w:rFonts w:ascii="Bookman Old Style" w:eastAsia="Bookman Old Style" w:hAnsi="Bookman Old Style" w:cs="Bookman Old Style"/>
          <w:b/>
        </w:rPr>
      </w:pPr>
      <w:r>
        <w:rPr>
          <w:rFonts w:ascii="Bookman Old Style" w:eastAsia="Bookman Old Style" w:hAnsi="Bookman Old Style" w:cs="Bookman Old Style"/>
          <w:b/>
        </w:rPr>
        <w:t xml:space="preserve">Seasonal Adjustment </w:t>
      </w:r>
    </w:p>
    <w:p w14:paraId="0DCB75F4" w14:textId="77777777" w:rsidR="0020333E" w:rsidRDefault="0020333E">
      <w:pPr>
        <w:jc w:val="both"/>
        <w:rPr>
          <w:rFonts w:ascii="Bookman Old Style" w:eastAsia="Bookman Old Style" w:hAnsi="Bookman Old Style" w:cs="Bookman Old Style"/>
          <w:b/>
        </w:rPr>
      </w:pPr>
    </w:p>
    <w:p w14:paraId="5178D90C" w14:textId="77777777" w:rsidR="0020333E" w:rsidRDefault="0055139F">
      <w:p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The quarterly value added, and GDP estimates have been seasonally adjusted. Seasonal adjustment is the process of estimating and removing seasonal effects from time series to reveal non-seasonal features. This process is to provide a clearer view of short-term movements and trends and to allow early identification of turning points.</w:t>
      </w:r>
    </w:p>
    <w:p w14:paraId="242B7F2C" w14:textId="77777777" w:rsidR="0020333E" w:rsidRDefault="0020333E">
      <w:pPr>
        <w:jc w:val="both"/>
        <w:rPr>
          <w:rFonts w:ascii="Bookman Old Style" w:eastAsia="Bookman Old Style" w:hAnsi="Bookman Old Style" w:cs="Bookman Old Style"/>
          <w:b/>
        </w:rPr>
      </w:pPr>
    </w:p>
    <w:p w14:paraId="33BA7E59" w14:textId="77777777" w:rsidR="0020333E" w:rsidRDefault="0055139F">
      <w:pPr>
        <w:jc w:val="both"/>
        <w:rPr>
          <w:rFonts w:ascii="Bookman Old Style" w:eastAsia="Bookman Old Style" w:hAnsi="Bookman Old Style" w:cs="Bookman Old Style"/>
          <w:b/>
        </w:rPr>
      </w:pPr>
      <w:r>
        <w:rPr>
          <w:rFonts w:ascii="Bookman Old Style" w:eastAsia="Bookman Old Style" w:hAnsi="Bookman Old Style" w:cs="Bookman Old Style"/>
          <w:b/>
        </w:rPr>
        <w:t>Revision Policy</w:t>
      </w:r>
    </w:p>
    <w:p w14:paraId="148DDB20" w14:textId="77777777" w:rsidR="0020333E" w:rsidRDefault="0020333E">
      <w:pPr>
        <w:jc w:val="both"/>
        <w:rPr>
          <w:rFonts w:ascii="Bookman Old Style" w:eastAsia="Bookman Old Style" w:hAnsi="Bookman Old Style" w:cs="Bookman Old Style"/>
          <w:b/>
        </w:rPr>
      </w:pPr>
    </w:p>
    <w:p w14:paraId="211C1658" w14:textId="137F28BE" w:rsidR="0020333E" w:rsidRDefault="0055139F">
      <w:p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While </w:t>
      </w:r>
      <w:r w:rsidR="00497287">
        <w:rPr>
          <w:rFonts w:ascii="Bookman Old Style" w:eastAsia="Bookman Old Style" w:hAnsi="Bookman Old Style" w:cs="Bookman Old Style"/>
        </w:rPr>
        <w:t>most</w:t>
      </w:r>
      <w:r>
        <w:rPr>
          <w:rFonts w:ascii="Bookman Old Style" w:eastAsia="Bookman Old Style" w:hAnsi="Bookman Old Style" w:cs="Bookman Old Style"/>
        </w:rPr>
        <w:t xml:space="preserve"> revisions are made to the four most recent quarters of the series, there is no restriction on when an estimate of the quarterly series for a given period can be revised. The main causes of revisions are as follows:</w:t>
      </w:r>
    </w:p>
    <w:p w14:paraId="4D91FEE4" w14:textId="77777777" w:rsidR="0020333E" w:rsidRDefault="0020333E">
      <w:pPr>
        <w:jc w:val="both"/>
        <w:rPr>
          <w:rFonts w:ascii="Bookman Old Style" w:eastAsia="Bookman Old Style" w:hAnsi="Bookman Old Style" w:cs="Bookman Old Style"/>
        </w:rPr>
      </w:pPr>
    </w:p>
    <w:p w14:paraId="74EC5142" w14:textId="20EF5DEB" w:rsidR="0020333E" w:rsidRDefault="0055139F">
      <w:pPr>
        <w:numPr>
          <w:ilvl w:val="0"/>
          <w:numId w:val="4"/>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Incorporation of additional and improved data: Most revisions reflect the incorporation of a wider range of data. </w:t>
      </w:r>
      <w:r w:rsidR="00497287">
        <w:rPr>
          <w:rFonts w:ascii="Bookman Old Style" w:eastAsia="Bookman Old Style" w:hAnsi="Bookman Old Style" w:cs="Bookman Old Style"/>
        </w:rPr>
        <w:t>Some</w:t>
      </w:r>
      <w:r>
        <w:rPr>
          <w:rFonts w:ascii="Bookman Old Style" w:eastAsia="Bookman Old Style" w:hAnsi="Bookman Old Style" w:cs="Bookman Old Style"/>
        </w:rPr>
        <w:t xml:space="preserve"> data that were not available at the release date are incorporated through revisions into subsequent releases.</w:t>
      </w:r>
    </w:p>
    <w:p w14:paraId="28F6486A" w14:textId="77777777" w:rsidR="0020333E" w:rsidRDefault="0020333E">
      <w:pPr>
        <w:jc w:val="both"/>
        <w:rPr>
          <w:rFonts w:ascii="Bookman Old Style" w:eastAsia="Bookman Old Style" w:hAnsi="Bookman Old Style" w:cs="Bookman Old Style"/>
        </w:rPr>
      </w:pPr>
    </w:p>
    <w:p w14:paraId="0B44D2AB" w14:textId="77777777" w:rsidR="0020333E" w:rsidRDefault="0055139F">
      <w:pPr>
        <w:numPr>
          <w:ilvl w:val="0"/>
          <w:numId w:val="4"/>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Reconciliation of quarterly and annual measures: The process of reconciling the quarterly measures with the annual measures can lead to further revisions. The quarterly measures of these series are based on a smaller range of data than the annual measures.</w:t>
      </w:r>
    </w:p>
    <w:p w14:paraId="6A529A86" w14:textId="77777777" w:rsidR="0020333E" w:rsidRDefault="0020333E">
      <w:pPr>
        <w:ind w:left="720"/>
        <w:jc w:val="both"/>
        <w:rPr>
          <w:rFonts w:ascii="Bookman Old Style" w:eastAsia="Bookman Old Style" w:hAnsi="Bookman Old Style" w:cs="Bookman Old Style"/>
        </w:rPr>
      </w:pPr>
    </w:p>
    <w:p w14:paraId="7DFEED8E" w14:textId="02D8AFCF" w:rsidR="0020333E" w:rsidRDefault="0055139F">
      <w:pPr>
        <w:numPr>
          <w:ilvl w:val="0"/>
          <w:numId w:val="4"/>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The rebased provisional quarterly GDP estimates may be revised further and finalized based on the availability of additional data. The next revision of the quarterly and annual GDP estimates will be done in </w:t>
      </w:r>
      <w:r w:rsidR="002D5587" w:rsidRPr="000B3E76">
        <w:rPr>
          <w:rFonts w:ascii="Bookman Old Style" w:eastAsia="Bookman Old Style" w:hAnsi="Bookman Old Style" w:cs="Bookman Old Style"/>
        </w:rPr>
        <w:t>June</w:t>
      </w:r>
      <w:r w:rsidRPr="000B3E76">
        <w:rPr>
          <w:rFonts w:ascii="Bookman Old Style" w:eastAsia="Bookman Old Style" w:hAnsi="Bookman Old Style" w:cs="Bookman Old Style"/>
        </w:rPr>
        <w:t xml:space="preserve"> </w:t>
      </w:r>
      <w:r w:rsidRPr="00ED46A3">
        <w:rPr>
          <w:rFonts w:ascii="Bookman Old Style" w:eastAsia="Bookman Old Style" w:hAnsi="Bookman Old Style" w:cs="Bookman Old Style"/>
        </w:rPr>
        <w:t>2023</w:t>
      </w:r>
      <w:r>
        <w:rPr>
          <w:rFonts w:ascii="Bookman Old Style" w:eastAsia="Bookman Old Style" w:hAnsi="Bookman Old Style" w:cs="Bookman Old Style"/>
        </w:rPr>
        <w:t>.</w:t>
      </w:r>
    </w:p>
    <w:p w14:paraId="37EC497D" w14:textId="77777777" w:rsidR="0020333E" w:rsidRDefault="0020333E">
      <w:pPr>
        <w:jc w:val="both"/>
        <w:rPr>
          <w:rFonts w:ascii="Bookman Old Style" w:eastAsia="Bookman Old Style" w:hAnsi="Bookman Old Style" w:cs="Bookman Old Style"/>
          <w:b/>
        </w:rPr>
      </w:pPr>
    </w:p>
    <w:p w14:paraId="35E653C3" w14:textId="3E875ECA" w:rsidR="0020333E" w:rsidRDefault="0055139F">
      <w:pPr>
        <w:jc w:val="both"/>
        <w:rPr>
          <w:rFonts w:ascii="Bookman Old Style" w:eastAsia="Bookman Old Style" w:hAnsi="Bookman Old Style" w:cs="Bookman Old Style"/>
          <w:b/>
        </w:rPr>
      </w:pPr>
      <w:r>
        <w:rPr>
          <w:rFonts w:ascii="Bookman Old Style" w:eastAsia="Bookman Old Style" w:hAnsi="Bookman Old Style" w:cs="Bookman Old Style"/>
          <w:b/>
        </w:rPr>
        <w:t>Related Publications</w:t>
      </w:r>
    </w:p>
    <w:p w14:paraId="6028363B" w14:textId="77777777" w:rsidR="0020333E" w:rsidRDefault="0055139F">
      <w:pPr>
        <w:jc w:val="both"/>
        <w:rPr>
          <w:rFonts w:ascii="Bookman Old Style" w:eastAsia="Bookman Old Style" w:hAnsi="Bookman Old Style" w:cs="Bookman Old Style"/>
          <w:b/>
          <w:u w:val="single"/>
        </w:rPr>
      </w:pPr>
      <w:r>
        <w:rPr>
          <w:rFonts w:ascii="Bookman Old Style" w:eastAsia="Bookman Old Style" w:hAnsi="Bookman Old Style" w:cs="Bookman Old Style"/>
        </w:rPr>
        <w:t>Users may refer to other publications on GDP on the</w:t>
      </w:r>
      <w:r>
        <w:rPr>
          <w:rFonts w:ascii="Bookman Old Style" w:eastAsia="Bookman Old Style" w:hAnsi="Bookman Old Style" w:cs="Bookman Old Style"/>
          <w:b/>
        </w:rPr>
        <w:t xml:space="preserve"> GSS website:  </w:t>
      </w:r>
      <w:hyperlink r:id="rId11">
        <w:r>
          <w:rPr>
            <w:rFonts w:ascii="Bookman Old Style" w:eastAsia="Bookman Old Style" w:hAnsi="Bookman Old Style" w:cs="Bookman Old Style"/>
            <w:b/>
            <w:u w:val="single"/>
          </w:rPr>
          <w:t>www.statsghana.gov.gh</w:t>
        </w:r>
      </w:hyperlink>
    </w:p>
    <w:p w14:paraId="6547265A" w14:textId="77777777" w:rsidR="00652B89" w:rsidRDefault="00652B89">
      <w:pPr>
        <w:tabs>
          <w:tab w:val="left" w:pos="3000"/>
        </w:tabs>
        <w:jc w:val="both"/>
        <w:rPr>
          <w:rFonts w:ascii="Bookman Old Style" w:eastAsia="Bookman Old Style" w:hAnsi="Bookman Old Style" w:cs="Bookman Old Style"/>
          <w:b/>
        </w:rPr>
      </w:pPr>
    </w:p>
    <w:p w14:paraId="3EB9E2AD" w14:textId="5EBF204E" w:rsidR="0020333E" w:rsidRDefault="0055139F">
      <w:pPr>
        <w:tabs>
          <w:tab w:val="left" w:pos="3000"/>
        </w:tabs>
        <w:jc w:val="both"/>
        <w:rPr>
          <w:rFonts w:ascii="Bookman Old Style" w:eastAsia="Bookman Old Style" w:hAnsi="Bookman Old Style" w:cs="Bookman Old Style"/>
          <w:b/>
        </w:rPr>
      </w:pPr>
      <w:r>
        <w:rPr>
          <w:rFonts w:ascii="Bookman Old Style" w:eastAsia="Bookman Old Style" w:hAnsi="Bookman Old Style" w:cs="Bookman Old Style"/>
          <w:b/>
        </w:rPr>
        <w:lastRenderedPageBreak/>
        <w:t xml:space="preserve">Quarterly real GDP growth: </w:t>
      </w:r>
      <w:r w:rsidR="00A151CD">
        <w:rPr>
          <w:rFonts w:ascii="Bookman Old Style" w:eastAsia="Bookman Old Style" w:hAnsi="Bookman Old Style" w:cs="Bookman Old Style"/>
          <w:b/>
        </w:rPr>
        <w:t>October</w:t>
      </w:r>
      <w:r>
        <w:rPr>
          <w:rFonts w:ascii="Bookman Old Style" w:eastAsia="Bookman Old Style" w:hAnsi="Bookman Old Style" w:cs="Bookman Old Style"/>
          <w:b/>
        </w:rPr>
        <w:t xml:space="preserve"> to </w:t>
      </w:r>
      <w:r w:rsidR="00A151CD">
        <w:rPr>
          <w:rFonts w:ascii="Bookman Old Style" w:eastAsia="Bookman Old Style" w:hAnsi="Bookman Old Style" w:cs="Bookman Old Style"/>
          <w:b/>
        </w:rPr>
        <w:t>December</w:t>
      </w:r>
      <w:r>
        <w:rPr>
          <w:rFonts w:ascii="Bookman Old Style" w:eastAsia="Bookman Old Style" w:hAnsi="Bookman Old Style" w:cs="Bookman Old Style"/>
          <w:b/>
        </w:rPr>
        <w:t xml:space="preserve"> 2022</w:t>
      </w:r>
    </w:p>
    <w:p w14:paraId="7C39CBC7" w14:textId="77777777" w:rsidR="0020333E" w:rsidRDefault="0020333E">
      <w:pPr>
        <w:tabs>
          <w:tab w:val="left" w:pos="3000"/>
        </w:tabs>
        <w:jc w:val="both"/>
        <w:rPr>
          <w:rFonts w:ascii="Bookman Old Style" w:eastAsia="Bookman Old Style" w:hAnsi="Bookman Old Style" w:cs="Bookman Old Style"/>
          <w:b/>
        </w:rPr>
      </w:pPr>
    </w:p>
    <w:p w14:paraId="504B95B1" w14:textId="1B30DE91" w:rsidR="0020333E" w:rsidRDefault="0055139F">
      <w:pPr>
        <w:tabs>
          <w:tab w:val="left" w:pos="3000"/>
        </w:tabs>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Provisional real quarterly gross domestic product (QGDP) growth rate including Oil and Gas, is </w:t>
      </w:r>
      <w:r w:rsidR="0017525B">
        <w:rPr>
          <w:rFonts w:ascii="Bookman Old Style" w:eastAsia="Bookman Old Style" w:hAnsi="Bookman Old Style" w:cs="Bookman Old Style"/>
        </w:rPr>
        <w:t>3.</w:t>
      </w:r>
      <w:r w:rsidR="00096816">
        <w:rPr>
          <w:rFonts w:ascii="Bookman Old Style" w:eastAsia="Bookman Old Style" w:hAnsi="Bookman Old Style" w:cs="Bookman Old Style"/>
        </w:rPr>
        <w:t>7</w:t>
      </w:r>
      <w:r>
        <w:rPr>
          <w:rFonts w:ascii="Bookman Old Style" w:eastAsia="Bookman Old Style" w:hAnsi="Bookman Old Style" w:cs="Bookman Old Style"/>
        </w:rPr>
        <w:t xml:space="preserve">% (year on year) in the </w:t>
      </w:r>
      <w:r w:rsidR="0017525B">
        <w:rPr>
          <w:rFonts w:ascii="Bookman Old Style" w:eastAsia="Bookman Old Style" w:hAnsi="Bookman Old Style" w:cs="Bookman Old Style"/>
        </w:rPr>
        <w:t>fourth</w:t>
      </w:r>
      <w:r>
        <w:rPr>
          <w:rFonts w:ascii="Bookman Old Style" w:eastAsia="Bookman Old Style" w:hAnsi="Bookman Old Style" w:cs="Bookman Old Style"/>
        </w:rPr>
        <w:t xml:space="preserve"> quarter of 2022. In the same period of 2021, the growth was </w:t>
      </w:r>
      <w:r w:rsidR="0017525B">
        <w:rPr>
          <w:rFonts w:ascii="Bookman Old Style" w:eastAsia="Bookman Old Style" w:hAnsi="Bookman Old Style" w:cs="Bookman Old Style"/>
        </w:rPr>
        <w:t>5.6</w:t>
      </w:r>
      <w:r>
        <w:rPr>
          <w:rFonts w:ascii="Bookman Old Style" w:eastAsia="Bookman Old Style" w:hAnsi="Bookman Old Style" w:cs="Bookman Old Style"/>
        </w:rPr>
        <w:t xml:space="preserve">%. </w:t>
      </w:r>
    </w:p>
    <w:p w14:paraId="7EBA7FA3" w14:textId="77777777" w:rsidR="0020333E" w:rsidRDefault="0020333E">
      <w:pPr>
        <w:tabs>
          <w:tab w:val="left" w:pos="3000"/>
        </w:tabs>
        <w:jc w:val="both"/>
        <w:rPr>
          <w:rFonts w:ascii="Bookman Old Style" w:eastAsia="Bookman Old Style" w:hAnsi="Bookman Old Style" w:cs="Bookman Old Style"/>
        </w:rPr>
      </w:pPr>
    </w:p>
    <w:p w14:paraId="53BF9656" w14:textId="60056FD8" w:rsidR="0020333E" w:rsidRDefault="0055139F">
      <w:pPr>
        <w:tabs>
          <w:tab w:val="left" w:pos="3000"/>
        </w:tabs>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GDP growth rate without oil and gas (Non-Oil GDP) for </w:t>
      </w:r>
      <w:r w:rsidR="0017525B">
        <w:rPr>
          <w:rFonts w:ascii="Bookman Old Style" w:eastAsia="Bookman Old Style" w:hAnsi="Bookman Old Style" w:cs="Bookman Old Style"/>
        </w:rPr>
        <w:t>fourth</w:t>
      </w:r>
      <w:r>
        <w:rPr>
          <w:rFonts w:ascii="Bookman Old Style" w:eastAsia="Bookman Old Style" w:hAnsi="Bookman Old Style" w:cs="Bookman Old Style"/>
        </w:rPr>
        <w:t xml:space="preserve"> quarter of 2022 is </w:t>
      </w:r>
      <w:r w:rsidR="00096816">
        <w:rPr>
          <w:rFonts w:ascii="Bookman Old Style" w:eastAsia="Bookman Old Style" w:hAnsi="Bookman Old Style" w:cs="Bookman Old Style"/>
        </w:rPr>
        <w:t>4.3</w:t>
      </w:r>
      <w:r>
        <w:rPr>
          <w:rFonts w:ascii="Bookman Old Style" w:eastAsia="Bookman Old Style" w:hAnsi="Bookman Old Style" w:cs="Bookman Old Style"/>
        </w:rPr>
        <w:t xml:space="preserve">% which compares to the same period in 2021 with a growth rate of </w:t>
      </w:r>
      <w:r w:rsidR="0017525B">
        <w:rPr>
          <w:rFonts w:ascii="Bookman Old Style" w:eastAsia="Bookman Old Style" w:hAnsi="Bookman Old Style" w:cs="Bookman Old Style"/>
        </w:rPr>
        <w:t>6.9</w:t>
      </w:r>
      <w:r>
        <w:rPr>
          <w:rFonts w:ascii="Bookman Old Style" w:eastAsia="Bookman Old Style" w:hAnsi="Bookman Old Style" w:cs="Bookman Old Style"/>
        </w:rPr>
        <w:t>%.</w:t>
      </w:r>
    </w:p>
    <w:p w14:paraId="77F74079" w14:textId="77777777" w:rsidR="0020333E" w:rsidRDefault="0020333E">
      <w:pPr>
        <w:tabs>
          <w:tab w:val="left" w:pos="3000"/>
        </w:tabs>
        <w:jc w:val="both"/>
        <w:rPr>
          <w:rFonts w:ascii="Bookman Old Style" w:eastAsia="Bookman Old Style" w:hAnsi="Bookman Old Style" w:cs="Bookman Old Style"/>
        </w:rPr>
      </w:pPr>
    </w:p>
    <w:p w14:paraId="63715CFD" w14:textId="2B35D191" w:rsidR="0020333E" w:rsidRDefault="0055139F">
      <w:p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The </w:t>
      </w:r>
      <w:r w:rsidR="0042466C">
        <w:rPr>
          <w:rFonts w:ascii="Bookman Old Style" w:eastAsia="Bookman Old Style" w:hAnsi="Bookman Old Style" w:cs="Bookman Old Style"/>
        </w:rPr>
        <w:t>Services</w:t>
      </w:r>
      <w:r>
        <w:rPr>
          <w:rFonts w:ascii="Bookman Old Style" w:eastAsia="Bookman Old Style" w:hAnsi="Bookman Old Style" w:cs="Bookman Old Style"/>
        </w:rPr>
        <w:t xml:space="preserve"> sector recorded the highest growth of </w:t>
      </w:r>
      <w:r w:rsidR="0042466C">
        <w:rPr>
          <w:rFonts w:ascii="Bookman Old Style" w:eastAsia="Bookman Old Style" w:hAnsi="Bookman Old Style" w:cs="Bookman Old Style"/>
        </w:rPr>
        <w:t>7.6</w:t>
      </w:r>
      <w:r>
        <w:rPr>
          <w:rFonts w:ascii="Bookman Old Style" w:eastAsia="Bookman Old Style" w:hAnsi="Bookman Old Style" w:cs="Bookman Old Style"/>
        </w:rPr>
        <w:t xml:space="preserve">%, followed by the </w:t>
      </w:r>
      <w:r w:rsidR="0042466C">
        <w:rPr>
          <w:rFonts w:ascii="Bookman Old Style" w:eastAsia="Bookman Old Style" w:hAnsi="Bookman Old Style" w:cs="Bookman Old Style"/>
        </w:rPr>
        <w:t>Agriculture</w:t>
      </w:r>
      <w:r>
        <w:rPr>
          <w:rFonts w:ascii="Bookman Old Style" w:eastAsia="Bookman Old Style" w:hAnsi="Bookman Old Style" w:cs="Bookman Old Style"/>
        </w:rPr>
        <w:t xml:space="preserve"> sector with a growth of 3.</w:t>
      </w:r>
      <w:r w:rsidR="0042466C">
        <w:rPr>
          <w:rFonts w:ascii="Bookman Old Style" w:eastAsia="Bookman Old Style" w:hAnsi="Bookman Old Style" w:cs="Bookman Old Style"/>
        </w:rPr>
        <w:t>6</w:t>
      </w:r>
      <w:r>
        <w:rPr>
          <w:rFonts w:ascii="Bookman Old Style" w:eastAsia="Bookman Old Style" w:hAnsi="Bookman Old Style" w:cs="Bookman Old Style"/>
        </w:rPr>
        <w:t xml:space="preserve">% and the Industry sector with a </w:t>
      </w:r>
      <w:r w:rsidR="0042466C">
        <w:rPr>
          <w:rFonts w:ascii="Bookman Old Style" w:eastAsia="Bookman Old Style" w:hAnsi="Bookman Old Style" w:cs="Bookman Old Style"/>
        </w:rPr>
        <w:t xml:space="preserve">contraction </w:t>
      </w:r>
      <w:r w:rsidR="00A151CD">
        <w:rPr>
          <w:rFonts w:ascii="Bookman Old Style" w:eastAsia="Bookman Old Style" w:hAnsi="Bookman Old Style" w:cs="Bookman Old Style"/>
        </w:rPr>
        <w:t xml:space="preserve">of </w:t>
      </w:r>
      <w:r w:rsidR="00096816">
        <w:rPr>
          <w:rFonts w:ascii="Bookman Old Style" w:eastAsia="Bookman Old Style" w:hAnsi="Bookman Old Style" w:cs="Bookman Old Style"/>
        </w:rPr>
        <w:t xml:space="preserve">1.0 </w:t>
      </w:r>
      <w:r w:rsidR="00A151CD">
        <w:rPr>
          <w:rFonts w:ascii="Bookman Old Style" w:eastAsia="Bookman Old Style" w:hAnsi="Bookman Old Style" w:cs="Bookman Old Style"/>
        </w:rPr>
        <w:t>percent</w:t>
      </w:r>
      <w:r>
        <w:rPr>
          <w:rFonts w:ascii="Bookman Old Style" w:eastAsia="Bookman Old Style" w:hAnsi="Bookman Old Style" w:cs="Bookman Old Style"/>
        </w:rPr>
        <w:t xml:space="preserve"> growth rate.</w:t>
      </w:r>
    </w:p>
    <w:p w14:paraId="0F0939A5" w14:textId="77777777" w:rsidR="0020333E" w:rsidRDefault="0020333E">
      <w:pPr>
        <w:tabs>
          <w:tab w:val="left" w:pos="3000"/>
        </w:tabs>
        <w:jc w:val="both"/>
        <w:rPr>
          <w:rFonts w:ascii="Bookman Old Style" w:eastAsia="Bookman Old Style" w:hAnsi="Bookman Old Style" w:cs="Bookman Old Style"/>
          <w:sz w:val="22"/>
          <w:szCs w:val="22"/>
        </w:rPr>
      </w:pPr>
    </w:p>
    <w:p w14:paraId="6FF51959" w14:textId="0BBC5736" w:rsidR="0020333E" w:rsidRDefault="0055139F">
      <w:pPr>
        <w:tabs>
          <w:tab w:val="left" w:pos="3000"/>
        </w:tabs>
        <w:jc w:val="both"/>
        <w:rPr>
          <w:rFonts w:ascii="Bookman Old Style" w:eastAsia="Bookman Old Style" w:hAnsi="Bookman Old Style" w:cs="Bookman Old Style"/>
          <w:b/>
        </w:rPr>
      </w:pPr>
      <w:r>
        <w:rPr>
          <w:rFonts w:ascii="Bookman Old Style" w:eastAsia="Bookman Old Style" w:hAnsi="Bookman Old Style" w:cs="Bookman Old Style"/>
          <w:b/>
        </w:rPr>
        <w:t>Figure1: Quarterly real GDP growth rate (2020Q</w:t>
      </w:r>
      <w:r w:rsidR="00ED5674">
        <w:rPr>
          <w:rFonts w:ascii="Bookman Old Style" w:eastAsia="Bookman Old Style" w:hAnsi="Bookman Old Style" w:cs="Bookman Old Style"/>
          <w:b/>
        </w:rPr>
        <w:t>4</w:t>
      </w:r>
      <w:r>
        <w:rPr>
          <w:rFonts w:ascii="Bookman Old Style" w:eastAsia="Bookman Old Style" w:hAnsi="Bookman Old Style" w:cs="Bookman Old Style"/>
          <w:b/>
        </w:rPr>
        <w:t>-2022Q</w:t>
      </w:r>
      <w:r w:rsidR="00ED5674">
        <w:rPr>
          <w:rFonts w:ascii="Bookman Old Style" w:eastAsia="Bookman Old Style" w:hAnsi="Bookman Old Style" w:cs="Bookman Old Style"/>
          <w:b/>
        </w:rPr>
        <w:t>4</w:t>
      </w:r>
      <w:r>
        <w:rPr>
          <w:rFonts w:ascii="Bookman Old Style" w:eastAsia="Bookman Old Style" w:hAnsi="Bookman Old Style" w:cs="Bookman Old Style"/>
          <w:b/>
        </w:rPr>
        <w:t>)</w:t>
      </w:r>
    </w:p>
    <w:p w14:paraId="28DA6431" w14:textId="64F55BE1" w:rsidR="0020333E" w:rsidRDefault="00096816">
      <w:pPr>
        <w:tabs>
          <w:tab w:val="left" w:pos="3000"/>
        </w:tabs>
        <w:jc w:val="both"/>
        <w:rPr>
          <w:rFonts w:ascii="Bookman Old Style" w:eastAsia="Bookman Old Style" w:hAnsi="Bookman Old Style" w:cs="Bookman Old Style"/>
          <w:b/>
        </w:rPr>
      </w:pPr>
      <w:r>
        <w:rPr>
          <w:noProof/>
        </w:rPr>
        <w:drawing>
          <wp:inline distT="0" distB="0" distL="0" distR="0" wp14:anchorId="33D2AAEB" wp14:editId="76AF0150">
            <wp:extent cx="6283325" cy="3567430"/>
            <wp:effectExtent l="0" t="0" r="3175" b="13970"/>
            <wp:docPr id="4" name="Chart 4">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3A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5D428530" w14:textId="77777777" w:rsidR="0020333E" w:rsidRDefault="0020333E">
      <w:pPr>
        <w:tabs>
          <w:tab w:val="left" w:pos="3000"/>
        </w:tabs>
        <w:jc w:val="both"/>
        <w:rPr>
          <w:rFonts w:ascii="Bookman Old Style" w:eastAsia="Bookman Old Style" w:hAnsi="Bookman Old Style" w:cs="Bookman Old Style"/>
          <w:b/>
        </w:rPr>
      </w:pPr>
    </w:p>
    <w:p w14:paraId="5BFC7706" w14:textId="77777777" w:rsidR="0020333E" w:rsidRDefault="0020333E">
      <w:pPr>
        <w:tabs>
          <w:tab w:val="left" w:pos="3000"/>
        </w:tabs>
        <w:jc w:val="both"/>
        <w:rPr>
          <w:rFonts w:ascii="Bookman Old Style" w:eastAsia="Bookman Old Style" w:hAnsi="Bookman Old Style" w:cs="Bookman Old Style"/>
          <w:b/>
        </w:rPr>
      </w:pPr>
    </w:p>
    <w:p w14:paraId="7F6F134B" w14:textId="1E1BE424" w:rsidR="0020333E" w:rsidRDefault="0055139F">
      <w:pPr>
        <w:tabs>
          <w:tab w:val="left" w:pos="2790"/>
        </w:tabs>
        <w:jc w:val="both"/>
        <w:rPr>
          <w:rFonts w:ascii="Bookman Old Style" w:eastAsia="Bookman Old Style" w:hAnsi="Bookman Old Style" w:cs="Bookman Old Style"/>
          <w:b/>
        </w:rPr>
      </w:pPr>
      <w:r w:rsidRPr="00FF709C">
        <w:rPr>
          <w:rFonts w:ascii="Bookman Old Style" w:eastAsia="Bookman Old Style" w:hAnsi="Bookman Old Style" w:cs="Bookman Old Style"/>
          <w:b/>
        </w:rPr>
        <w:t xml:space="preserve">Real quarterly gross domestic product: </w:t>
      </w:r>
      <w:r w:rsidR="00FF709C">
        <w:rPr>
          <w:rFonts w:ascii="Bookman Old Style" w:eastAsia="Bookman Old Style" w:hAnsi="Bookman Old Style" w:cs="Bookman Old Style"/>
          <w:b/>
        </w:rPr>
        <w:t>October</w:t>
      </w:r>
      <w:r w:rsidRPr="00FF709C">
        <w:rPr>
          <w:rFonts w:ascii="Bookman Old Style" w:eastAsia="Bookman Old Style" w:hAnsi="Bookman Old Style" w:cs="Bookman Old Style"/>
          <w:b/>
        </w:rPr>
        <w:t xml:space="preserve"> to </w:t>
      </w:r>
      <w:r w:rsidR="00FF709C">
        <w:rPr>
          <w:rFonts w:ascii="Bookman Old Style" w:eastAsia="Bookman Old Style" w:hAnsi="Bookman Old Style" w:cs="Bookman Old Style"/>
          <w:b/>
        </w:rPr>
        <w:t>December</w:t>
      </w:r>
      <w:r w:rsidRPr="00FF709C">
        <w:rPr>
          <w:rFonts w:ascii="Bookman Old Style" w:eastAsia="Bookman Old Style" w:hAnsi="Bookman Old Style" w:cs="Bookman Old Style"/>
          <w:b/>
        </w:rPr>
        <w:t xml:space="preserve"> 2022</w:t>
      </w:r>
    </w:p>
    <w:p w14:paraId="63441696" w14:textId="77777777" w:rsidR="0020333E" w:rsidRDefault="0020333E">
      <w:pPr>
        <w:tabs>
          <w:tab w:val="left" w:pos="2790"/>
        </w:tabs>
        <w:jc w:val="both"/>
        <w:rPr>
          <w:rFonts w:ascii="Bookman Old Style" w:eastAsia="Bookman Old Style" w:hAnsi="Bookman Old Style" w:cs="Bookman Old Style"/>
          <w:b/>
        </w:rPr>
      </w:pPr>
    </w:p>
    <w:p w14:paraId="46235986" w14:textId="41C78DE6" w:rsidR="0020333E" w:rsidRDefault="0055139F">
      <w:pPr>
        <w:jc w:val="both"/>
        <w:rPr>
          <w:rFonts w:ascii="Calibri" w:hAnsi="Calibri" w:cs="Calibri"/>
          <w:b/>
          <w:bCs/>
          <w:color w:val="000000"/>
          <w:sz w:val="22"/>
          <w:szCs w:val="22"/>
        </w:rPr>
      </w:pPr>
      <w:r>
        <w:rPr>
          <w:rFonts w:ascii="Bookman Old Style" w:eastAsia="Bookman Old Style" w:hAnsi="Bookman Old Style" w:cs="Bookman Old Style"/>
        </w:rPr>
        <w:t xml:space="preserve">The </w:t>
      </w:r>
      <w:r>
        <w:rPr>
          <w:rFonts w:ascii="Bookman Old Style" w:eastAsia="Bookman Old Style" w:hAnsi="Bookman Old Style" w:cs="Bookman Old Style"/>
          <w:b/>
        </w:rPr>
        <w:t>GDP</w:t>
      </w:r>
      <w:r>
        <w:rPr>
          <w:rFonts w:ascii="Bookman Old Style" w:eastAsia="Bookman Old Style" w:hAnsi="Bookman Old Style" w:cs="Bookman Old Style"/>
        </w:rPr>
        <w:t xml:space="preserve"> (Including Oil &amp; Gas) estimate at constant 2013 prices for the </w:t>
      </w:r>
      <w:r w:rsidR="002F14F6">
        <w:rPr>
          <w:rFonts w:ascii="Bookman Old Style" w:eastAsia="Bookman Old Style" w:hAnsi="Bookman Old Style" w:cs="Bookman Old Style"/>
        </w:rPr>
        <w:t>4</w:t>
      </w:r>
      <w:r w:rsidR="002F14F6" w:rsidRPr="002F14F6">
        <w:rPr>
          <w:rFonts w:ascii="Bookman Old Style" w:eastAsia="Bookman Old Style" w:hAnsi="Bookman Old Style" w:cs="Bookman Old Style"/>
          <w:vertAlign w:val="superscript"/>
        </w:rPr>
        <w:t>th</w:t>
      </w:r>
      <w:r>
        <w:rPr>
          <w:rFonts w:ascii="Bookman Old Style" w:eastAsia="Bookman Old Style" w:hAnsi="Bookman Old Style" w:cs="Bookman Old Style"/>
        </w:rPr>
        <w:t xml:space="preserve"> quarter of 2022 was </w:t>
      </w:r>
      <w:r>
        <w:rPr>
          <w:rFonts w:ascii="Bookman Old Style" w:eastAsia="Bookman Old Style" w:hAnsi="Bookman Old Style" w:cs="Bookman Old Style"/>
          <w:b/>
        </w:rPr>
        <w:t>GH¢4</w:t>
      </w:r>
      <w:r w:rsidR="002F14F6">
        <w:rPr>
          <w:rFonts w:ascii="Bookman Old Style" w:eastAsia="Bookman Old Style" w:hAnsi="Bookman Old Style" w:cs="Bookman Old Style"/>
          <w:b/>
        </w:rPr>
        <w:t>8</w:t>
      </w:r>
      <w:r>
        <w:rPr>
          <w:rFonts w:ascii="Bookman Old Style" w:eastAsia="Bookman Old Style" w:hAnsi="Bookman Old Style" w:cs="Bookman Old Style"/>
          <w:b/>
        </w:rPr>
        <w:t>,</w:t>
      </w:r>
      <w:r w:rsidR="002F14F6">
        <w:rPr>
          <w:rFonts w:ascii="Bookman Old Style" w:eastAsia="Bookman Old Style" w:hAnsi="Bookman Old Style" w:cs="Bookman Old Style"/>
          <w:b/>
        </w:rPr>
        <w:t>4</w:t>
      </w:r>
      <w:r w:rsidR="00096816">
        <w:rPr>
          <w:rFonts w:ascii="Bookman Old Style" w:eastAsia="Bookman Old Style" w:hAnsi="Bookman Old Style" w:cs="Bookman Old Style"/>
          <w:b/>
        </w:rPr>
        <w:t>84.4</w:t>
      </w:r>
      <w:r>
        <w:rPr>
          <w:rFonts w:ascii="Bookman Old Style" w:eastAsia="Bookman Old Style" w:hAnsi="Bookman Old Style" w:cs="Bookman Old Style"/>
          <w:b/>
        </w:rPr>
        <w:t xml:space="preserve"> million</w:t>
      </w:r>
      <w:r>
        <w:rPr>
          <w:rFonts w:ascii="Bookman Old Style" w:eastAsia="Bookman Old Style" w:hAnsi="Bookman Old Style" w:cs="Bookman Old Style"/>
        </w:rPr>
        <w:t xml:space="preserve"> compared to </w:t>
      </w:r>
      <w:r>
        <w:rPr>
          <w:rFonts w:ascii="Bookman Old Style" w:eastAsia="Bookman Old Style" w:hAnsi="Bookman Old Style" w:cs="Bookman Old Style"/>
          <w:b/>
        </w:rPr>
        <w:t>GH¢</w:t>
      </w:r>
      <w:r w:rsidR="002F14F6" w:rsidRPr="002F14F6">
        <w:rPr>
          <w:rFonts w:ascii="Bookman Old Style" w:eastAsia="Bookman Old Style" w:hAnsi="Bookman Old Style" w:cs="Bookman Old Style"/>
          <w:b/>
        </w:rPr>
        <w:t>46,765.7</w:t>
      </w:r>
      <w:r w:rsidR="002F14F6">
        <w:rPr>
          <w:rFonts w:ascii="Calibri" w:hAnsi="Calibri" w:cs="Calibri"/>
          <w:b/>
          <w:bCs/>
          <w:color w:val="000000"/>
          <w:sz w:val="22"/>
          <w:szCs w:val="22"/>
        </w:rPr>
        <w:t xml:space="preserve"> </w:t>
      </w:r>
      <w:r>
        <w:rPr>
          <w:rFonts w:ascii="Bookman Old Style" w:eastAsia="Bookman Old Style" w:hAnsi="Bookman Old Style" w:cs="Bookman Old Style"/>
          <w:b/>
        </w:rPr>
        <w:t>million</w:t>
      </w:r>
      <w:r>
        <w:rPr>
          <w:rFonts w:ascii="Bookman Old Style" w:eastAsia="Bookman Old Style" w:hAnsi="Bookman Old Style" w:cs="Bookman Old Style"/>
        </w:rPr>
        <w:t xml:space="preserve"> in the </w:t>
      </w:r>
      <w:r w:rsidR="002F14F6">
        <w:rPr>
          <w:rFonts w:ascii="Bookman Old Style" w:eastAsia="Bookman Old Style" w:hAnsi="Bookman Old Style" w:cs="Bookman Old Style"/>
        </w:rPr>
        <w:t>4</w:t>
      </w:r>
      <w:r w:rsidR="002F14F6" w:rsidRPr="002F14F6">
        <w:rPr>
          <w:rFonts w:ascii="Bookman Old Style" w:eastAsia="Bookman Old Style" w:hAnsi="Bookman Old Style" w:cs="Bookman Old Style"/>
          <w:vertAlign w:val="superscript"/>
        </w:rPr>
        <w:t>th</w:t>
      </w:r>
      <w:r w:rsidR="002F14F6">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2021. </w:t>
      </w:r>
    </w:p>
    <w:p w14:paraId="552E4C22" w14:textId="77777777" w:rsidR="0020333E" w:rsidRDefault="0020333E">
      <w:pPr>
        <w:jc w:val="both"/>
        <w:rPr>
          <w:rFonts w:ascii="Bookman Old Style" w:eastAsia="Bookman Old Style" w:hAnsi="Bookman Old Style" w:cs="Bookman Old Style"/>
        </w:rPr>
      </w:pPr>
    </w:p>
    <w:p w14:paraId="6C2BA81D" w14:textId="5D73B61C" w:rsidR="0020333E" w:rsidRPr="00084B12" w:rsidRDefault="0055139F">
      <w:pPr>
        <w:jc w:val="both"/>
        <w:rPr>
          <w:rFonts w:ascii="Calibri" w:hAnsi="Calibri" w:cs="Calibri"/>
          <w:b/>
          <w:bCs/>
          <w:color w:val="000000"/>
          <w:sz w:val="22"/>
          <w:szCs w:val="22"/>
        </w:rPr>
      </w:pPr>
      <w:r>
        <w:rPr>
          <w:rFonts w:ascii="Bookman Old Style" w:eastAsia="Bookman Old Style" w:hAnsi="Bookman Old Style" w:cs="Bookman Old Style"/>
        </w:rPr>
        <w:t xml:space="preserve">The </w:t>
      </w:r>
      <w:r>
        <w:rPr>
          <w:rFonts w:ascii="Bookman Old Style" w:eastAsia="Bookman Old Style" w:hAnsi="Bookman Old Style" w:cs="Bookman Old Style"/>
          <w:b/>
        </w:rPr>
        <w:t>Non-oil GDP</w:t>
      </w:r>
      <w:r>
        <w:rPr>
          <w:rFonts w:ascii="Bookman Old Style" w:eastAsia="Bookman Old Style" w:hAnsi="Bookman Old Style" w:cs="Bookman Old Style"/>
        </w:rPr>
        <w:t xml:space="preserve"> at constant 2013 prices for the </w:t>
      </w:r>
      <w:r w:rsidR="00084B12">
        <w:rPr>
          <w:rFonts w:ascii="Bookman Old Style" w:eastAsia="Bookman Old Style" w:hAnsi="Bookman Old Style" w:cs="Bookman Old Style"/>
        </w:rPr>
        <w:t>4</w:t>
      </w:r>
      <w:r w:rsidR="00084B12" w:rsidRPr="00084B12">
        <w:rPr>
          <w:rFonts w:ascii="Bookman Old Style" w:eastAsia="Bookman Old Style" w:hAnsi="Bookman Old Style" w:cs="Bookman Old Style"/>
          <w:vertAlign w:val="superscript"/>
        </w:rPr>
        <w:t>th</w:t>
      </w:r>
      <w:r w:rsidR="00084B12">
        <w:rPr>
          <w:rFonts w:ascii="Bookman Old Style" w:eastAsia="Bookman Old Style" w:hAnsi="Bookman Old Style" w:cs="Bookman Old Style"/>
        </w:rPr>
        <w:t xml:space="preserve"> </w:t>
      </w:r>
      <w:r>
        <w:rPr>
          <w:rFonts w:ascii="Bookman Old Style" w:eastAsia="Bookman Old Style" w:hAnsi="Bookman Old Style" w:cs="Bookman Old Style"/>
        </w:rPr>
        <w:t>quarter of 2022 was</w:t>
      </w:r>
      <w:r>
        <w:rPr>
          <w:rFonts w:ascii="Bookman Old Style" w:eastAsia="Bookman Old Style" w:hAnsi="Bookman Old Style" w:cs="Bookman Old Style"/>
          <w:b/>
        </w:rPr>
        <w:t xml:space="preserve">                  </w:t>
      </w:r>
      <w:r>
        <w:rPr>
          <w:rFonts w:ascii="Bookman Old Style" w:eastAsia="Bookman Old Style" w:hAnsi="Bookman Old Style" w:cs="Bookman Old Style"/>
          <w:b/>
          <w:bCs/>
        </w:rPr>
        <w:t>GH¢</w:t>
      </w:r>
      <w:r w:rsidR="00084B12" w:rsidRPr="00084B12">
        <w:rPr>
          <w:rFonts w:ascii="Bookman Old Style" w:eastAsia="Bookman Old Style" w:hAnsi="Bookman Old Style" w:cs="Bookman Old Style"/>
          <w:b/>
          <w:bCs/>
        </w:rPr>
        <w:t>45,</w:t>
      </w:r>
      <w:r w:rsidR="00096816">
        <w:rPr>
          <w:rFonts w:ascii="Bookman Old Style" w:eastAsia="Bookman Old Style" w:hAnsi="Bookman Old Style" w:cs="Bookman Old Style"/>
          <w:b/>
          <w:bCs/>
        </w:rPr>
        <w:t>708.0</w:t>
      </w:r>
      <w:r w:rsidR="00084B12" w:rsidRPr="00084B12">
        <w:rPr>
          <w:rFonts w:ascii="Bookman Old Style" w:eastAsia="Bookman Old Style" w:hAnsi="Bookman Old Style" w:cs="Bookman Old Style"/>
          <w:b/>
          <w:bCs/>
        </w:rPr>
        <w:t xml:space="preserve"> </w:t>
      </w:r>
      <w:r>
        <w:rPr>
          <w:rFonts w:ascii="Bookman Old Style" w:eastAsia="Bookman Old Style" w:hAnsi="Bookman Old Style" w:cs="Bookman Old Style"/>
          <w:b/>
          <w:bCs/>
        </w:rPr>
        <w:t>million</w:t>
      </w:r>
      <w:r w:rsidRPr="00084B12">
        <w:rPr>
          <w:rFonts w:ascii="Bookman Old Style" w:eastAsia="Bookman Old Style" w:hAnsi="Bookman Old Style" w:cs="Bookman Old Style"/>
          <w:b/>
          <w:bCs/>
        </w:rPr>
        <w:t xml:space="preserve"> compared to </w:t>
      </w:r>
      <w:r>
        <w:rPr>
          <w:rFonts w:ascii="Bookman Old Style" w:eastAsia="Bookman Old Style" w:hAnsi="Bookman Old Style" w:cs="Bookman Old Style"/>
          <w:b/>
          <w:bCs/>
        </w:rPr>
        <w:t>GH¢</w:t>
      </w:r>
      <w:r w:rsidR="00084B12" w:rsidRPr="00084B12">
        <w:rPr>
          <w:rFonts w:ascii="Bookman Old Style" w:eastAsia="Bookman Old Style" w:hAnsi="Bookman Old Style" w:cs="Bookman Old Style"/>
          <w:b/>
          <w:bCs/>
        </w:rPr>
        <w:t>43,834.6</w:t>
      </w:r>
      <w:r w:rsidR="00084B12">
        <w:rPr>
          <w:rFonts w:ascii="Calibri" w:hAnsi="Calibri" w:cs="Calibri"/>
          <w:b/>
          <w:bCs/>
          <w:color w:val="000000"/>
          <w:sz w:val="22"/>
          <w:szCs w:val="22"/>
        </w:rPr>
        <w:t xml:space="preserve"> </w:t>
      </w:r>
      <w:r>
        <w:rPr>
          <w:rFonts w:ascii="Bookman Old Style" w:eastAsia="Bookman Old Style" w:hAnsi="Bookman Old Style" w:cs="Bookman Old Style"/>
          <w:b/>
          <w:bCs/>
        </w:rPr>
        <w:t>million</w:t>
      </w:r>
      <w:r>
        <w:rPr>
          <w:rFonts w:ascii="Bookman Old Style" w:eastAsia="Bookman Old Style" w:hAnsi="Bookman Old Style" w:cs="Bookman Old Style"/>
        </w:rPr>
        <w:t xml:space="preserve"> in the </w:t>
      </w:r>
      <w:r w:rsidR="00084B12">
        <w:rPr>
          <w:rFonts w:ascii="Bookman Old Style" w:eastAsia="Bookman Old Style" w:hAnsi="Bookman Old Style" w:cs="Bookman Old Style"/>
        </w:rPr>
        <w:t>4</w:t>
      </w:r>
      <w:r w:rsidR="00084B12" w:rsidRPr="00084B12">
        <w:rPr>
          <w:rFonts w:ascii="Bookman Old Style" w:eastAsia="Bookman Old Style" w:hAnsi="Bookman Old Style" w:cs="Bookman Old Style"/>
          <w:vertAlign w:val="superscript"/>
        </w:rPr>
        <w:t>th</w:t>
      </w:r>
      <w:r w:rsidR="00084B12">
        <w:rPr>
          <w:rFonts w:ascii="Bookman Old Style" w:eastAsia="Bookman Old Style" w:hAnsi="Bookman Old Style" w:cs="Bookman Old Style"/>
        </w:rPr>
        <w:t xml:space="preserve"> </w:t>
      </w:r>
      <w:r>
        <w:rPr>
          <w:rFonts w:ascii="Bookman Old Style" w:eastAsia="Bookman Old Style" w:hAnsi="Bookman Old Style" w:cs="Bookman Old Style"/>
        </w:rPr>
        <w:t>quarter of 2021.</w:t>
      </w:r>
    </w:p>
    <w:p w14:paraId="61DD52B9" w14:textId="77777777" w:rsidR="0020333E" w:rsidRDefault="0020333E">
      <w:pPr>
        <w:jc w:val="both"/>
        <w:rPr>
          <w:rFonts w:ascii="Calibri" w:hAnsi="Calibri" w:cs="Calibri"/>
          <w:b/>
          <w:bCs/>
          <w:color w:val="000000"/>
          <w:sz w:val="22"/>
          <w:szCs w:val="22"/>
        </w:rPr>
      </w:pPr>
    </w:p>
    <w:p w14:paraId="6DA4B0B6" w14:textId="32D251A6" w:rsidR="0020333E" w:rsidRDefault="0020333E">
      <w:pPr>
        <w:jc w:val="both"/>
        <w:rPr>
          <w:rFonts w:ascii="Calibri" w:hAnsi="Calibri" w:cs="Calibri"/>
          <w:b/>
          <w:bCs/>
          <w:color w:val="000000"/>
          <w:sz w:val="22"/>
          <w:szCs w:val="22"/>
        </w:rPr>
      </w:pPr>
    </w:p>
    <w:p w14:paraId="4993233F" w14:textId="10A09CC8" w:rsidR="00096816" w:rsidRDefault="00096816">
      <w:pPr>
        <w:jc w:val="both"/>
        <w:rPr>
          <w:rFonts w:ascii="Calibri" w:hAnsi="Calibri" w:cs="Calibri"/>
          <w:b/>
          <w:bCs/>
          <w:color w:val="000000"/>
          <w:sz w:val="22"/>
          <w:szCs w:val="22"/>
        </w:rPr>
      </w:pPr>
    </w:p>
    <w:p w14:paraId="7CAB67B7" w14:textId="56B6C71F" w:rsidR="00096816" w:rsidRDefault="00096816">
      <w:pPr>
        <w:jc w:val="both"/>
        <w:rPr>
          <w:rFonts w:ascii="Calibri" w:hAnsi="Calibri" w:cs="Calibri"/>
          <w:b/>
          <w:bCs/>
          <w:color w:val="000000"/>
          <w:sz w:val="22"/>
          <w:szCs w:val="22"/>
        </w:rPr>
      </w:pPr>
    </w:p>
    <w:p w14:paraId="3D01E2FA" w14:textId="77777777" w:rsidR="00096816" w:rsidRDefault="00096816">
      <w:pPr>
        <w:jc w:val="both"/>
        <w:rPr>
          <w:rFonts w:ascii="Calibri" w:hAnsi="Calibri" w:cs="Calibri"/>
          <w:b/>
          <w:bCs/>
          <w:color w:val="000000"/>
          <w:sz w:val="22"/>
          <w:szCs w:val="22"/>
        </w:rPr>
      </w:pPr>
    </w:p>
    <w:p w14:paraId="621C3160" w14:textId="35705E51" w:rsidR="0020333E" w:rsidRDefault="0055139F">
      <w:pPr>
        <w:jc w:val="both"/>
        <w:rPr>
          <w:rFonts w:ascii="Bookman Old Style" w:eastAsia="Bookman Old Style" w:hAnsi="Bookman Old Style" w:cs="Bookman Old Style"/>
          <w:b/>
          <w:sz w:val="22"/>
          <w:szCs w:val="22"/>
        </w:rPr>
      </w:pPr>
      <w:r>
        <w:rPr>
          <w:rFonts w:ascii="Bookman Old Style" w:eastAsia="Bookman Old Style" w:hAnsi="Bookman Old Style" w:cs="Bookman Old Style"/>
          <w:b/>
        </w:rPr>
        <w:lastRenderedPageBreak/>
        <w:t xml:space="preserve">Table1: Year-on-year growth rates in </w:t>
      </w:r>
      <w:r w:rsidR="009A0E53">
        <w:rPr>
          <w:rFonts w:ascii="Bookman Old Style" w:eastAsia="Bookman Old Style" w:hAnsi="Bookman Old Style" w:cs="Bookman Old Style"/>
          <w:b/>
          <w:bCs/>
        </w:rPr>
        <w:t>4</w:t>
      </w:r>
      <w:r w:rsidR="009A0E53" w:rsidRPr="009A0E53">
        <w:rPr>
          <w:rFonts w:ascii="Bookman Old Style" w:eastAsia="Bookman Old Style" w:hAnsi="Bookman Old Style" w:cs="Bookman Old Style"/>
          <w:b/>
          <w:bCs/>
          <w:vertAlign w:val="superscript"/>
        </w:rPr>
        <w:t>th</w:t>
      </w:r>
      <w:r w:rsidR="009A0E53">
        <w:rPr>
          <w:rFonts w:ascii="Bookman Old Style" w:eastAsia="Bookman Old Style" w:hAnsi="Bookman Old Style" w:cs="Bookman Old Style"/>
          <w:b/>
          <w:bCs/>
        </w:rPr>
        <w:t xml:space="preserve"> </w:t>
      </w:r>
      <w:r>
        <w:rPr>
          <w:rFonts w:ascii="Bookman Old Style" w:eastAsia="Bookman Old Style" w:hAnsi="Bookman Old Style" w:cs="Bookman Old Style"/>
          <w:b/>
        </w:rPr>
        <w:t>quarter of 2022</w:t>
      </w:r>
    </w:p>
    <w:tbl>
      <w:tblPr>
        <w:tblStyle w:val="Style11"/>
        <w:tblpPr w:leftFromText="180" w:rightFromText="180" w:vertAnchor="text" w:horzAnchor="margin" w:tblpX="-185" w:tblpY="89"/>
        <w:tblW w:w="10196"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679"/>
        <w:gridCol w:w="3145"/>
        <w:gridCol w:w="1111"/>
        <w:gridCol w:w="1864"/>
        <w:gridCol w:w="2397"/>
      </w:tblGrid>
      <w:tr w:rsidR="0020333E" w14:paraId="4C2C5128" w14:textId="77777777" w:rsidTr="006C2863">
        <w:trPr>
          <w:trHeight w:val="118"/>
        </w:trPr>
        <w:tc>
          <w:tcPr>
            <w:tcW w:w="1679" w:type="dxa"/>
            <w:tcBorders>
              <w:top w:val="single" w:sz="4" w:space="0" w:color="000000"/>
              <w:bottom w:val="single" w:sz="4" w:space="0" w:color="000000"/>
              <w:right w:val="single" w:sz="4" w:space="0" w:color="000000"/>
            </w:tcBorders>
          </w:tcPr>
          <w:p w14:paraId="6E9F18FF" w14:textId="77777777" w:rsidR="0020333E" w:rsidRDefault="0055139F">
            <w:pPr>
              <w:jc w:val="both"/>
              <w:rPr>
                <w:rFonts w:ascii="Bookman Old Style" w:eastAsia="Bookman Old Style" w:hAnsi="Bookman Old Style" w:cs="Bookman Old Style"/>
                <w:b/>
                <w:color w:val="auto"/>
                <w:sz w:val="22"/>
                <w:szCs w:val="22"/>
              </w:rPr>
            </w:pPr>
            <w:r>
              <w:rPr>
                <w:rFonts w:ascii="Bookman Old Style" w:eastAsia="Bookman Old Style" w:hAnsi="Bookman Old Style" w:cs="Bookman Old Style"/>
                <w:b/>
                <w:color w:val="auto"/>
                <w:sz w:val="22"/>
                <w:szCs w:val="22"/>
              </w:rPr>
              <w:t>Sector</w:t>
            </w:r>
          </w:p>
        </w:tc>
        <w:tc>
          <w:tcPr>
            <w:tcW w:w="3145" w:type="dxa"/>
            <w:tcBorders>
              <w:top w:val="single" w:sz="4" w:space="0" w:color="000000"/>
              <w:left w:val="single" w:sz="4" w:space="0" w:color="000000"/>
              <w:bottom w:val="single" w:sz="4" w:space="0" w:color="000000"/>
            </w:tcBorders>
          </w:tcPr>
          <w:p w14:paraId="688EE8C5" w14:textId="77777777" w:rsidR="0020333E" w:rsidRDefault="0055139F">
            <w:pPr>
              <w:jc w:val="both"/>
              <w:rPr>
                <w:rFonts w:ascii="Bookman Old Style" w:eastAsia="Bookman Old Style" w:hAnsi="Bookman Old Style" w:cs="Bookman Old Style"/>
                <w:b/>
                <w:color w:val="auto"/>
                <w:sz w:val="22"/>
                <w:szCs w:val="22"/>
              </w:rPr>
            </w:pPr>
            <w:r>
              <w:rPr>
                <w:rFonts w:ascii="Bookman Old Style" w:eastAsia="Bookman Old Style" w:hAnsi="Bookman Old Style" w:cs="Bookman Old Style"/>
                <w:b/>
                <w:color w:val="auto"/>
                <w:sz w:val="22"/>
                <w:szCs w:val="22"/>
              </w:rPr>
              <w:t>Expanding sub-sectors</w:t>
            </w:r>
          </w:p>
        </w:tc>
        <w:tc>
          <w:tcPr>
            <w:tcW w:w="1111" w:type="dxa"/>
            <w:tcBorders>
              <w:top w:val="single" w:sz="4" w:space="0" w:color="000000"/>
              <w:bottom w:val="single" w:sz="4" w:space="0" w:color="000000"/>
              <w:right w:val="single" w:sz="4" w:space="0" w:color="000000"/>
            </w:tcBorders>
          </w:tcPr>
          <w:p w14:paraId="4D84AA67" w14:textId="77777777" w:rsidR="0020333E" w:rsidRDefault="0020333E">
            <w:pPr>
              <w:jc w:val="both"/>
              <w:rPr>
                <w:rFonts w:ascii="Bookman Old Style" w:eastAsia="Bookman Old Style" w:hAnsi="Bookman Old Style" w:cs="Bookman Old Style"/>
                <w:b/>
                <w:color w:val="auto"/>
                <w:sz w:val="22"/>
                <w:szCs w:val="22"/>
              </w:rPr>
            </w:pPr>
          </w:p>
        </w:tc>
        <w:tc>
          <w:tcPr>
            <w:tcW w:w="4261" w:type="dxa"/>
            <w:gridSpan w:val="2"/>
            <w:tcBorders>
              <w:top w:val="single" w:sz="4" w:space="0" w:color="000000"/>
              <w:left w:val="single" w:sz="4" w:space="0" w:color="000000"/>
              <w:bottom w:val="single" w:sz="4" w:space="0" w:color="000000"/>
            </w:tcBorders>
          </w:tcPr>
          <w:p w14:paraId="758A0D47" w14:textId="77777777" w:rsidR="0020333E" w:rsidRDefault="0055139F">
            <w:pPr>
              <w:jc w:val="both"/>
              <w:rPr>
                <w:rFonts w:ascii="Bookman Old Style" w:eastAsia="Bookman Old Style" w:hAnsi="Bookman Old Style" w:cs="Bookman Old Style"/>
                <w:b/>
                <w:color w:val="auto"/>
                <w:sz w:val="22"/>
                <w:szCs w:val="22"/>
              </w:rPr>
            </w:pPr>
            <w:r>
              <w:rPr>
                <w:rFonts w:ascii="Bookman Old Style" w:eastAsia="Bookman Old Style" w:hAnsi="Bookman Old Style" w:cs="Bookman Old Style"/>
                <w:b/>
                <w:color w:val="auto"/>
                <w:sz w:val="22"/>
                <w:szCs w:val="22"/>
              </w:rPr>
              <w:t>Contracting sub-sectors</w:t>
            </w:r>
          </w:p>
        </w:tc>
      </w:tr>
      <w:tr w:rsidR="0020333E" w14:paraId="44428327" w14:textId="77777777" w:rsidTr="006C2863">
        <w:trPr>
          <w:trHeight w:val="529"/>
        </w:trPr>
        <w:tc>
          <w:tcPr>
            <w:tcW w:w="1679" w:type="dxa"/>
            <w:tcBorders>
              <w:top w:val="single" w:sz="4" w:space="0" w:color="000000"/>
              <w:bottom w:val="single" w:sz="4" w:space="0" w:color="000000"/>
              <w:right w:val="single" w:sz="4" w:space="0" w:color="000000"/>
            </w:tcBorders>
          </w:tcPr>
          <w:p w14:paraId="5B3248D1" w14:textId="77777777" w:rsidR="0020333E" w:rsidRDefault="0020333E">
            <w:pPr>
              <w:spacing w:line="276" w:lineRule="auto"/>
              <w:jc w:val="both"/>
              <w:rPr>
                <w:rFonts w:ascii="Bookman Old Style" w:eastAsia="Bookman Old Style" w:hAnsi="Bookman Old Style" w:cs="Bookman Old Style"/>
                <w:color w:val="auto"/>
                <w:sz w:val="22"/>
                <w:szCs w:val="22"/>
              </w:rPr>
            </w:pPr>
          </w:p>
          <w:p w14:paraId="3320593C" w14:textId="77777777" w:rsidR="0020333E" w:rsidRDefault="0055139F">
            <w:pPr>
              <w:spacing w:line="276" w:lineRule="auto"/>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Agriculture</w:t>
            </w:r>
          </w:p>
          <w:p w14:paraId="7B0C2E6E" w14:textId="7EF66421" w:rsidR="0020333E" w:rsidRDefault="0055139F">
            <w:pPr>
              <w:spacing w:line="276" w:lineRule="auto"/>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w:t>
            </w:r>
            <w:r w:rsidR="002D2978">
              <w:rPr>
                <w:rFonts w:ascii="Bookman Old Style" w:eastAsia="Bookman Old Style" w:hAnsi="Bookman Old Style" w:cs="Bookman Old Style"/>
                <w:color w:val="auto"/>
                <w:sz w:val="22"/>
                <w:szCs w:val="22"/>
              </w:rPr>
              <w:t>3</w:t>
            </w:r>
            <w:r>
              <w:rPr>
                <w:rFonts w:ascii="Bookman Old Style" w:eastAsia="Bookman Old Style" w:hAnsi="Bookman Old Style" w:cs="Bookman Old Style"/>
                <w:color w:val="auto"/>
                <w:sz w:val="22"/>
                <w:szCs w:val="22"/>
              </w:rPr>
              <w:t>.6%)</w:t>
            </w:r>
          </w:p>
        </w:tc>
        <w:tc>
          <w:tcPr>
            <w:tcW w:w="3145" w:type="dxa"/>
            <w:tcBorders>
              <w:top w:val="single" w:sz="4" w:space="0" w:color="000000"/>
              <w:left w:val="single" w:sz="4" w:space="0" w:color="000000"/>
              <w:bottom w:val="single" w:sz="4" w:space="0" w:color="000000"/>
            </w:tcBorders>
          </w:tcPr>
          <w:p w14:paraId="428EDD61" w14:textId="77777777" w:rsidR="0020333E" w:rsidRDefault="0055139F">
            <w:pPr>
              <w:spacing w:line="360" w:lineRule="auto"/>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Livestock </w:t>
            </w:r>
          </w:p>
          <w:p w14:paraId="79CCFA59" w14:textId="77777777" w:rsidR="002D2978" w:rsidRDefault="002D2978">
            <w:pPr>
              <w:spacing w:line="360" w:lineRule="auto"/>
              <w:jc w:val="both"/>
              <w:rPr>
                <w:rFonts w:ascii="Bookman Old Style" w:eastAsia="Bookman Old Style" w:hAnsi="Bookman Old Style"/>
                <w:color w:val="auto"/>
                <w:sz w:val="22"/>
                <w:szCs w:val="22"/>
              </w:rPr>
            </w:pPr>
            <w:r>
              <w:rPr>
                <w:rFonts w:ascii="Bookman Old Style" w:eastAsia="Bookman Old Style" w:hAnsi="Bookman Old Style" w:cs="Bookman Old Style"/>
                <w:color w:val="auto"/>
                <w:sz w:val="22"/>
                <w:szCs w:val="22"/>
              </w:rPr>
              <w:t>Crops and cocoa</w:t>
            </w:r>
            <w:r>
              <w:rPr>
                <w:rFonts w:ascii="Bookman Old Style" w:eastAsia="Bookman Old Style" w:hAnsi="Bookman Old Style"/>
                <w:color w:val="auto"/>
                <w:sz w:val="22"/>
                <w:szCs w:val="22"/>
              </w:rPr>
              <w:t xml:space="preserve"> </w:t>
            </w:r>
          </w:p>
          <w:p w14:paraId="24BB5969" w14:textId="65FC6909" w:rsidR="0020333E" w:rsidRDefault="0055139F">
            <w:pPr>
              <w:spacing w:line="360" w:lineRule="auto"/>
              <w:jc w:val="both"/>
              <w:rPr>
                <w:rFonts w:ascii="Bookman Old Style" w:eastAsia="Bookman Old Style" w:hAnsi="Bookman Old Style" w:cs="Bookman Old Style"/>
                <w:color w:val="auto"/>
                <w:sz w:val="22"/>
                <w:szCs w:val="22"/>
              </w:rPr>
            </w:pPr>
            <w:r>
              <w:rPr>
                <w:rFonts w:ascii="Bookman Old Style" w:eastAsia="Bookman Old Style" w:hAnsi="Bookman Old Style"/>
                <w:color w:val="auto"/>
                <w:sz w:val="22"/>
                <w:szCs w:val="22"/>
              </w:rPr>
              <w:t xml:space="preserve">Forestry &amp; Logging    </w:t>
            </w:r>
          </w:p>
        </w:tc>
        <w:tc>
          <w:tcPr>
            <w:tcW w:w="1111" w:type="dxa"/>
            <w:tcBorders>
              <w:top w:val="single" w:sz="4" w:space="0" w:color="000000"/>
              <w:bottom w:val="single" w:sz="4" w:space="0" w:color="000000"/>
              <w:right w:val="single" w:sz="4" w:space="0" w:color="000000"/>
            </w:tcBorders>
          </w:tcPr>
          <w:p w14:paraId="402D667B" w14:textId="66FD84CA" w:rsidR="0020333E" w:rsidRDefault="00B3578F">
            <w:pPr>
              <w:spacing w:line="360" w:lineRule="auto"/>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r w:rsidR="0055139F">
              <w:rPr>
                <w:rFonts w:ascii="Bookman Old Style" w:eastAsia="Bookman Old Style" w:hAnsi="Bookman Old Style" w:cs="Bookman Old Style"/>
                <w:color w:val="auto"/>
                <w:sz w:val="22"/>
                <w:szCs w:val="22"/>
              </w:rPr>
              <w:t>5.</w:t>
            </w:r>
            <w:r w:rsidR="002D2978">
              <w:rPr>
                <w:rFonts w:ascii="Bookman Old Style" w:eastAsia="Bookman Old Style" w:hAnsi="Bookman Old Style" w:cs="Bookman Old Style"/>
                <w:color w:val="auto"/>
                <w:sz w:val="22"/>
                <w:szCs w:val="22"/>
              </w:rPr>
              <w:t>1</w:t>
            </w:r>
            <w:r w:rsidR="0055139F">
              <w:rPr>
                <w:rFonts w:ascii="Bookman Old Style" w:eastAsia="Bookman Old Style" w:hAnsi="Bookman Old Style" w:cs="Bookman Old Style"/>
                <w:color w:val="auto"/>
                <w:sz w:val="22"/>
                <w:szCs w:val="22"/>
              </w:rPr>
              <w:t>%</w:t>
            </w:r>
          </w:p>
          <w:p w14:paraId="28C149A3" w14:textId="640B212E" w:rsidR="0020333E" w:rsidRDefault="00B3578F">
            <w:pPr>
              <w:spacing w:line="360" w:lineRule="auto"/>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r w:rsidR="002D2978">
              <w:rPr>
                <w:rFonts w:ascii="Bookman Old Style" w:eastAsia="Bookman Old Style" w:hAnsi="Bookman Old Style" w:cs="Bookman Old Style"/>
                <w:color w:val="auto"/>
                <w:sz w:val="22"/>
                <w:szCs w:val="22"/>
              </w:rPr>
              <w:t>3.6</w:t>
            </w:r>
            <w:r w:rsidR="0055139F">
              <w:rPr>
                <w:rFonts w:ascii="Bookman Old Style" w:eastAsia="Bookman Old Style" w:hAnsi="Bookman Old Style" w:cs="Bookman Old Style"/>
                <w:color w:val="auto"/>
                <w:sz w:val="22"/>
                <w:szCs w:val="22"/>
              </w:rPr>
              <w:t>%</w:t>
            </w:r>
          </w:p>
          <w:p w14:paraId="1A32BA99" w14:textId="438A7729" w:rsidR="0020333E" w:rsidRDefault="00B3578F">
            <w:pPr>
              <w:spacing w:line="360" w:lineRule="auto"/>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r w:rsidR="002D2978">
              <w:rPr>
                <w:rFonts w:ascii="Bookman Old Style" w:eastAsia="Bookman Old Style" w:hAnsi="Bookman Old Style" w:cs="Bookman Old Style"/>
                <w:color w:val="auto"/>
                <w:sz w:val="22"/>
                <w:szCs w:val="22"/>
              </w:rPr>
              <w:t>2.8</w:t>
            </w:r>
            <w:r w:rsidR="0055139F">
              <w:rPr>
                <w:rFonts w:ascii="Bookman Old Style" w:eastAsia="Bookman Old Style" w:hAnsi="Bookman Old Style" w:cs="Bookman Old Style"/>
                <w:color w:val="auto"/>
                <w:sz w:val="22"/>
                <w:szCs w:val="22"/>
              </w:rPr>
              <w:t>%</w:t>
            </w:r>
          </w:p>
        </w:tc>
        <w:tc>
          <w:tcPr>
            <w:tcW w:w="1864" w:type="dxa"/>
            <w:tcBorders>
              <w:top w:val="single" w:sz="4" w:space="0" w:color="000000"/>
              <w:left w:val="single" w:sz="4" w:space="0" w:color="000000"/>
              <w:bottom w:val="single" w:sz="4" w:space="0" w:color="000000"/>
            </w:tcBorders>
          </w:tcPr>
          <w:p w14:paraId="272D44E4" w14:textId="7A24FF17" w:rsidR="0020333E" w:rsidRDefault="002D2978">
            <w:pPr>
              <w:spacing w:line="276" w:lineRule="auto"/>
              <w:jc w:val="both"/>
              <w:rPr>
                <w:rFonts w:ascii="Bookman Old Style" w:eastAsia="Bookman Old Style" w:hAnsi="Bookman Old Style"/>
                <w:color w:val="auto"/>
                <w:sz w:val="22"/>
                <w:szCs w:val="22"/>
              </w:rPr>
            </w:pPr>
            <w:r>
              <w:rPr>
                <w:rFonts w:ascii="Bookman Old Style" w:eastAsia="Bookman Old Style" w:hAnsi="Bookman Old Style"/>
                <w:color w:val="auto"/>
                <w:sz w:val="22"/>
                <w:szCs w:val="22"/>
              </w:rPr>
              <w:t>Fishing</w:t>
            </w:r>
          </w:p>
          <w:p w14:paraId="0EB8B958" w14:textId="77777777" w:rsidR="0020333E" w:rsidRDefault="0020333E">
            <w:pPr>
              <w:spacing w:line="276" w:lineRule="auto"/>
              <w:jc w:val="both"/>
              <w:rPr>
                <w:rFonts w:ascii="Bookman Old Style" w:eastAsia="Bookman Old Style" w:hAnsi="Bookman Old Style"/>
                <w:color w:val="auto"/>
                <w:sz w:val="22"/>
                <w:szCs w:val="22"/>
              </w:rPr>
            </w:pPr>
          </w:p>
        </w:tc>
        <w:tc>
          <w:tcPr>
            <w:tcW w:w="2396" w:type="dxa"/>
            <w:tcBorders>
              <w:top w:val="single" w:sz="4" w:space="0" w:color="000000"/>
              <w:bottom w:val="single" w:sz="4" w:space="0" w:color="000000"/>
            </w:tcBorders>
          </w:tcPr>
          <w:p w14:paraId="5FAB28A1" w14:textId="1665F4A5" w:rsidR="0020333E" w:rsidRDefault="0055139F" w:rsidP="002D2978">
            <w:pPr>
              <w:tabs>
                <w:tab w:val="center" w:pos="1090"/>
              </w:tabs>
              <w:spacing w:line="276" w:lineRule="auto"/>
              <w:jc w:val="both"/>
              <w:rPr>
                <w:rFonts w:ascii="Bookman Old Style" w:eastAsia="Bookman Old Style" w:hAnsi="Bookman Old Style"/>
                <w:color w:val="auto"/>
                <w:sz w:val="22"/>
                <w:szCs w:val="22"/>
              </w:rPr>
            </w:pPr>
            <w:r>
              <w:rPr>
                <w:rFonts w:ascii="Bookman Old Style" w:eastAsia="Bookman Old Style" w:hAnsi="Bookman Old Style"/>
                <w:color w:val="auto"/>
                <w:sz w:val="22"/>
                <w:szCs w:val="22"/>
              </w:rPr>
              <w:t xml:space="preserve">  </w:t>
            </w:r>
            <w:r w:rsidR="002D2978">
              <w:rPr>
                <w:rFonts w:ascii="Bookman Old Style" w:eastAsia="Bookman Old Style" w:hAnsi="Bookman Old Style"/>
                <w:color w:val="auto"/>
                <w:sz w:val="22"/>
                <w:szCs w:val="22"/>
              </w:rPr>
              <w:tab/>
              <w:t xml:space="preserve">                      -1.5</w:t>
            </w:r>
          </w:p>
        </w:tc>
      </w:tr>
      <w:tr w:rsidR="0020333E" w14:paraId="2665E77A" w14:textId="77777777" w:rsidTr="006C2863">
        <w:trPr>
          <w:trHeight w:val="1408"/>
        </w:trPr>
        <w:tc>
          <w:tcPr>
            <w:tcW w:w="1679" w:type="dxa"/>
            <w:tcBorders>
              <w:top w:val="single" w:sz="4" w:space="0" w:color="000000"/>
              <w:bottom w:val="single" w:sz="4" w:space="0" w:color="000000"/>
              <w:right w:val="single" w:sz="4" w:space="0" w:color="000000"/>
            </w:tcBorders>
          </w:tcPr>
          <w:p w14:paraId="46AE40C4" w14:textId="77777777" w:rsidR="0020333E" w:rsidRDefault="0020333E">
            <w:pPr>
              <w:jc w:val="both"/>
              <w:rPr>
                <w:rFonts w:ascii="Bookman Old Style" w:eastAsia="Bookman Old Style" w:hAnsi="Bookman Old Style" w:cs="Bookman Old Style"/>
                <w:color w:val="auto"/>
                <w:sz w:val="22"/>
                <w:szCs w:val="22"/>
              </w:rPr>
            </w:pPr>
          </w:p>
          <w:p w14:paraId="25F771A0" w14:textId="62F8EA40" w:rsidR="0020333E" w:rsidRDefault="0020333E">
            <w:pPr>
              <w:jc w:val="both"/>
              <w:rPr>
                <w:rFonts w:ascii="Bookman Old Style" w:eastAsia="Bookman Old Style" w:hAnsi="Bookman Old Style" w:cs="Bookman Old Style"/>
                <w:color w:val="auto"/>
                <w:sz w:val="22"/>
                <w:szCs w:val="22"/>
              </w:rPr>
            </w:pPr>
          </w:p>
          <w:p w14:paraId="023F9303" w14:textId="77777777" w:rsidR="00B3578F" w:rsidRDefault="00B3578F">
            <w:pPr>
              <w:jc w:val="both"/>
              <w:rPr>
                <w:rFonts w:ascii="Bookman Old Style" w:eastAsia="Bookman Old Style" w:hAnsi="Bookman Old Style" w:cs="Bookman Old Style"/>
                <w:color w:val="auto"/>
                <w:sz w:val="22"/>
                <w:szCs w:val="22"/>
              </w:rPr>
            </w:pPr>
          </w:p>
          <w:p w14:paraId="20CED979" w14:textId="77777777" w:rsidR="0020333E" w:rsidRDefault="0020333E">
            <w:pPr>
              <w:jc w:val="both"/>
              <w:rPr>
                <w:rFonts w:ascii="Bookman Old Style" w:eastAsia="Bookman Old Style" w:hAnsi="Bookman Old Style" w:cs="Bookman Old Style"/>
                <w:color w:val="auto"/>
                <w:sz w:val="22"/>
                <w:szCs w:val="22"/>
              </w:rPr>
            </w:pPr>
          </w:p>
          <w:p w14:paraId="3A79C256" w14:textId="77777777" w:rsidR="0020333E" w:rsidRDefault="0055139F">
            <w:pPr>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Industry </w:t>
            </w:r>
          </w:p>
          <w:p w14:paraId="6C212CBD" w14:textId="307817FF" w:rsidR="0020333E" w:rsidRDefault="0055139F">
            <w:pPr>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w:t>
            </w:r>
            <w:r w:rsidR="002D2978">
              <w:rPr>
                <w:rFonts w:ascii="Bookman Old Style" w:eastAsia="Bookman Old Style" w:hAnsi="Bookman Old Style" w:cs="Bookman Old Style"/>
                <w:color w:val="auto"/>
                <w:sz w:val="22"/>
                <w:szCs w:val="22"/>
              </w:rPr>
              <w:t>-1.0</w:t>
            </w:r>
            <w:r>
              <w:rPr>
                <w:rFonts w:ascii="Bookman Old Style" w:eastAsia="Bookman Old Style" w:hAnsi="Bookman Old Style" w:cs="Bookman Old Style"/>
                <w:color w:val="auto"/>
                <w:sz w:val="22"/>
                <w:szCs w:val="22"/>
              </w:rPr>
              <w:t>%)</w:t>
            </w:r>
          </w:p>
          <w:p w14:paraId="4FBE4426" w14:textId="77777777" w:rsidR="0020333E" w:rsidRDefault="0020333E">
            <w:pPr>
              <w:rPr>
                <w:rFonts w:ascii="Bookman Old Style" w:eastAsia="Bookman Old Style" w:hAnsi="Bookman Old Style" w:cs="Bookman Old Style"/>
                <w:sz w:val="22"/>
                <w:szCs w:val="22"/>
              </w:rPr>
            </w:pPr>
          </w:p>
          <w:p w14:paraId="51493873" w14:textId="77777777" w:rsidR="0020333E" w:rsidRDefault="0020333E">
            <w:pPr>
              <w:rPr>
                <w:rFonts w:ascii="Bookman Old Style" w:eastAsia="Bookman Old Style" w:hAnsi="Bookman Old Style" w:cs="Bookman Old Style"/>
                <w:sz w:val="22"/>
                <w:szCs w:val="22"/>
              </w:rPr>
            </w:pPr>
          </w:p>
          <w:p w14:paraId="01077B08" w14:textId="77777777" w:rsidR="0020333E" w:rsidRDefault="0020333E">
            <w:pPr>
              <w:rPr>
                <w:rFonts w:ascii="Bookman Old Style" w:eastAsia="Bookman Old Style" w:hAnsi="Bookman Old Style" w:cs="Bookman Old Style"/>
                <w:sz w:val="22"/>
                <w:szCs w:val="22"/>
              </w:rPr>
            </w:pPr>
          </w:p>
          <w:p w14:paraId="1707A0EC" w14:textId="77777777" w:rsidR="0020333E" w:rsidRDefault="0020333E">
            <w:pPr>
              <w:rPr>
                <w:rFonts w:ascii="Bookman Old Style" w:eastAsia="Bookman Old Style" w:hAnsi="Bookman Old Style" w:cs="Bookman Old Style"/>
                <w:sz w:val="22"/>
                <w:szCs w:val="22"/>
              </w:rPr>
            </w:pPr>
          </w:p>
          <w:p w14:paraId="1AB54E5C" w14:textId="77777777" w:rsidR="0020333E" w:rsidRDefault="0020333E">
            <w:pPr>
              <w:rPr>
                <w:rFonts w:ascii="Bookman Old Style" w:eastAsia="Bookman Old Style" w:hAnsi="Bookman Old Style" w:cs="Bookman Old Style"/>
                <w:sz w:val="22"/>
                <w:szCs w:val="22"/>
              </w:rPr>
            </w:pPr>
          </w:p>
        </w:tc>
        <w:tc>
          <w:tcPr>
            <w:tcW w:w="3145" w:type="dxa"/>
            <w:tcBorders>
              <w:top w:val="single" w:sz="4" w:space="0" w:color="000000"/>
              <w:left w:val="single" w:sz="4" w:space="0" w:color="000000"/>
              <w:bottom w:val="single" w:sz="4" w:space="0" w:color="000000"/>
            </w:tcBorders>
          </w:tcPr>
          <w:p w14:paraId="388BEF7C" w14:textId="77777777"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Mining &amp; Quarrying</w:t>
            </w:r>
          </w:p>
          <w:p w14:paraId="6B6F31E3" w14:textId="77777777" w:rsidR="0020333E" w:rsidRDefault="0020333E">
            <w:pPr>
              <w:rPr>
                <w:rFonts w:ascii="Bookman Old Style" w:eastAsia="Bookman Old Style" w:hAnsi="Bookman Old Style" w:cs="Bookman Old Style"/>
                <w:color w:val="auto"/>
                <w:sz w:val="22"/>
                <w:szCs w:val="22"/>
              </w:rPr>
            </w:pPr>
          </w:p>
          <w:p w14:paraId="23D9BEB6" w14:textId="77777777" w:rsidR="0020333E" w:rsidRDefault="0055139F">
            <w:pPr>
              <w:tabs>
                <w:tab w:val="right" w:pos="3691"/>
              </w:tabs>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ab/>
              <w:t xml:space="preserve">       </w:t>
            </w:r>
          </w:p>
        </w:tc>
        <w:tc>
          <w:tcPr>
            <w:tcW w:w="1111" w:type="dxa"/>
            <w:tcBorders>
              <w:top w:val="single" w:sz="4" w:space="0" w:color="000000"/>
              <w:bottom w:val="single" w:sz="4" w:space="0" w:color="000000"/>
              <w:right w:val="single" w:sz="4" w:space="0" w:color="000000"/>
            </w:tcBorders>
          </w:tcPr>
          <w:p w14:paraId="73761FA9" w14:textId="40879AA7"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1</w:t>
            </w:r>
            <w:r w:rsidR="002D2978">
              <w:rPr>
                <w:rFonts w:ascii="Bookman Old Style" w:eastAsia="Bookman Old Style" w:hAnsi="Bookman Old Style" w:cs="Bookman Old Style"/>
                <w:sz w:val="22"/>
                <w:szCs w:val="22"/>
              </w:rPr>
              <w:t>3.4</w:t>
            </w:r>
            <w:r>
              <w:rPr>
                <w:rFonts w:ascii="Bookman Old Style" w:eastAsia="Bookman Old Style" w:hAnsi="Bookman Old Style" w:cs="Bookman Old Style"/>
                <w:sz w:val="22"/>
                <w:szCs w:val="22"/>
              </w:rPr>
              <w:t>%</w:t>
            </w:r>
          </w:p>
          <w:p w14:paraId="15A9848B" w14:textId="77777777" w:rsidR="0020333E" w:rsidRDefault="0020333E">
            <w:pPr>
              <w:rPr>
                <w:rFonts w:ascii="Bookman Old Style" w:eastAsia="Bookman Old Style" w:hAnsi="Bookman Old Style" w:cs="Bookman Old Style"/>
                <w:color w:val="auto"/>
                <w:sz w:val="22"/>
                <w:szCs w:val="22"/>
              </w:rPr>
            </w:pPr>
          </w:p>
          <w:p w14:paraId="234E7C93" w14:textId="77777777" w:rsidR="0020333E" w:rsidRDefault="0020333E">
            <w:pPr>
              <w:rPr>
                <w:rFonts w:ascii="Bookman Old Style" w:eastAsia="Bookman Old Style" w:hAnsi="Bookman Old Style" w:cs="Bookman Old Style"/>
                <w:sz w:val="22"/>
                <w:szCs w:val="22"/>
              </w:rPr>
            </w:pPr>
          </w:p>
        </w:tc>
        <w:tc>
          <w:tcPr>
            <w:tcW w:w="1864" w:type="dxa"/>
            <w:tcBorders>
              <w:top w:val="single" w:sz="4" w:space="0" w:color="000000"/>
              <w:left w:val="single" w:sz="4" w:space="0" w:color="000000"/>
              <w:bottom w:val="single" w:sz="4" w:space="0" w:color="000000"/>
            </w:tcBorders>
          </w:tcPr>
          <w:p w14:paraId="5F26F0A1" w14:textId="77777777" w:rsidR="002D2978" w:rsidRDefault="002D2978" w:rsidP="002D2978">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Water Supply, Sewerage, Waste Management &amp; </w:t>
            </w:r>
          </w:p>
          <w:p w14:paraId="77D333F6" w14:textId="77777777" w:rsidR="002D2978" w:rsidRDefault="002D2978" w:rsidP="002D2978">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Remediation Activities </w:t>
            </w:r>
          </w:p>
          <w:p w14:paraId="6F9C7CD3" w14:textId="77777777" w:rsidR="002D2978" w:rsidRDefault="002D2978" w:rsidP="002D2978">
            <w:pPr>
              <w:rPr>
                <w:rFonts w:ascii="Bookman Old Style" w:eastAsia="Bookman Old Style" w:hAnsi="Bookman Old Style" w:cs="Bookman Old Style"/>
                <w:color w:val="auto"/>
                <w:sz w:val="22"/>
                <w:szCs w:val="22"/>
              </w:rPr>
            </w:pPr>
          </w:p>
          <w:p w14:paraId="5549FD8F" w14:textId="77777777" w:rsidR="002D2978" w:rsidRDefault="002D2978" w:rsidP="002D2978">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Electricity</w:t>
            </w:r>
          </w:p>
          <w:p w14:paraId="232FEE23" w14:textId="77777777" w:rsidR="002D2978" w:rsidRDefault="002D2978" w:rsidP="002D2978">
            <w:pPr>
              <w:rPr>
                <w:rFonts w:ascii="Bookman Old Style" w:eastAsia="Bookman Old Style" w:hAnsi="Bookman Old Style" w:cs="Bookman Old Style"/>
                <w:color w:val="auto"/>
                <w:sz w:val="22"/>
                <w:szCs w:val="22"/>
              </w:rPr>
            </w:pPr>
          </w:p>
          <w:p w14:paraId="150DD019" w14:textId="726837C1" w:rsidR="0020333E" w:rsidRDefault="0055139F" w:rsidP="002D2978">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Manufacturing</w:t>
            </w:r>
          </w:p>
          <w:p w14:paraId="4DF50781" w14:textId="77777777" w:rsidR="0020333E" w:rsidRDefault="0020333E">
            <w:pPr>
              <w:rPr>
                <w:rFonts w:ascii="Bookman Old Style" w:eastAsia="Bookman Old Style" w:hAnsi="Bookman Old Style" w:cs="Bookman Old Style"/>
                <w:color w:val="auto"/>
                <w:sz w:val="22"/>
                <w:szCs w:val="22"/>
              </w:rPr>
            </w:pPr>
          </w:p>
          <w:p w14:paraId="5E7BE246" w14:textId="5742899E"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Construction</w:t>
            </w:r>
          </w:p>
        </w:tc>
        <w:tc>
          <w:tcPr>
            <w:tcW w:w="2396" w:type="dxa"/>
            <w:tcBorders>
              <w:top w:val="single" w:sz="4" w:space="0" w:color="000000"/>
              <w:bottom w:val="single" w:sz="4" w:space="0" w:color="000000"/>
            </w:tcBorders>
          </w:tcPr>
          <w:p w14:paraId="51A482F3" w14:textId="1D6D2531" w:rsidR="0020333E" w:rsidRDefault="0055139F">
            <w:pPr>
              <w:tabs>
                <w:tab w:val="right" w:pos="2167"/>
              </w:tabs>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r>
              <w:rPr>
                <w:rFonts w:ascii="Bookman Old Style" w:eastAsia="Bookman Old Style" w:hAnsi="Bookman Old Style" w:cs="Bookman Old Style"/>
                <w:color w:val="auto"/>
                <w:sz w:val="22"/>
                <w:szCs w:val="22"/>
              </w:rPr>
              <w:tab/>
            </w:r>
          </w:p>
          <w:p w14:paraId="2F409738" w14:textId="77777777" w:rsidR="0020333E" w:rsidRDefault="0020333E">
            <w:pPr>
              <w:tabs>
                <w:tab w:val="right" w:pos="2167"/>
              </w:tabs>
              <w:jc w:val="both"/>
              <w:rPr>
                <w:rFonts w:ascii="Bookman Old Style" w:eastAsia="Bookman Old Style" w:hAnsi="Bookman Old Style" w:cs="Bookman Old Style"/>
                <w:color w:val="auto"/>
                <w:sz w:val="22"/>
                <w:szCs w:val="22"/>
              </w:rPr>
            </w:pPr>
          </w:p>
          <w:p w14:paraId="5BF60B3F" w14:textId="7F388AA9" w:rsidR="0020333E" w:rsidRDefault="0055139F">
            <w:pPr>
              <w:tabs>
                <w:tab w:val="right" w:pos="2167"/>
              </w:tabs>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r>
              <w:rPr>
                <w:rFonts w:ascii="Bookman Old Style" w:eastAsia="Bookman Old Style" w:hAnsi="Bookman Old Style" w:cs="Bookman Old Style"/>
                <w:sz w:val="22"/>
                <w:szCs w:val="22"/>
              </w:rPr>
              <w:tab/>
            </w:r>
            <w:r w:rsidR="00325F4F">
              <w:rPr>
                <w:rFonts w:ascii="Bookman Old Style" w:eastAsia="Bookman Old Style" w:hAnsi="Bookman Old Style" w:cs="Bookman Old Style"/>
                <w:color w:val="auto"/>
                <w:sz w:val="22"/>
                <w:szCs w:val="22"/>
              </w:rPr>
              <w:t>-13.4%</w:t>
            </w:r>
          </w:p>
          <w:p w14:paraId="091A49CE" w14:textId="77777777" w:rsidR="0020333E" w:rsidRDefault="0020333E">
            <w:pPr>
              <w:tabs>
                <w:tab w:val="right" w:pos="2167"/>
              </w:tabs>
              <w:jc w:val="both"/>
              <w:rPr>
                <w:rFonts w:ascii="Bookman Old Style" w:eastAsia="Bookman Old Style" w:hAnsi="Bookman Old Style" w:cs="Bookman Old Style"/>
                <w:sz w:val="22"/>
                <w:szCs w:val="22"/>
              </w:rPr>
            </w:pPr>
          </w:p>
          <w:p w14:paraId="75F32BCD" w14:textId="77777777" w:rsidR="0020333E" w:rsidRDefault="0020333E">
            <w:pPr>
              <w:jc w:val="right"/>
              <w:rPr>
                <w:rFonts w:ascii="Bookman Old Style" w:eastAsia="Bookman Old Style" w:hAnsi="Bookman Old Style" w:cs="Bookman Old Style"/>
                <w:sz w:val="22"/>
                <w:szCs w:val="22"/>
              </w:rPr>
            </w:pPr>
          </w:p>
          <w:p w14:paraId="0CE44C70" w14:textId="77777777" w:rsidR="0020333E" w:rsidRDefault="0020333E">
            <w:pPr>
              <w:jc w:val="both"/>
              <w:rPr>
                <w:rFonts w:ascii="Bookman Old Style" w:eastAsia="Bookman Old Style" w:hAnsi="Bookman Old Style" w:cs="Bookman Old Style"/>
                <w:sz w:val="22"/>
                <w:szCs w:val="22"/>
              </w:rPr>
            </w:pPr>
          </w:p>
          <w:p w14:paraId="2D552CFF" w14:textId="77777777" w:rsidR="0020333E" w:rsidRDefault="0055139F">
            <w:pPr>
              <w:ind w:left="165" w:hanging="165"/>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p w14:paraId="685F97AA" w14:textId="5094D54F" w:rsidR="002D2978" w:rsidRDefault="002D2978">
            <w:pPr>
              <w:ind w:left="165" w:hanging="165"/>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-12.8%</w:t>
            </w:r>
          </w:p>
          <w:p w14:paraId="2FD3FB9B" w14:textId="77777777" w:rsidR="002D2978" w:rsidRDefault="002D2978">
            <w:pPr>
              <w:ind w:left="165" w:hanging="165"/>
              <w:jc w:val="both"/>
              <w:rPr>
                <w:rFonts w:ascii="Bookman Old Style" w:eastAsia="Bookman Old Style" w:hAnsi="Bookman Old Style" w:cs="Bookman Old Style"/>
                <w:sz w:val="22"/>
                <w:szCs w:val="22"/>
              </w:rPr>
            </w:pPr>
          </w:p>
          <w:p w14:paraId="37ABF0FA" w14:textId="4E497E86" w:rsidR="0020333E" w:rsidRDefault="002D2978">
            <w:pPr>
              <w:ind w:left="165" w:hanging="165"/>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-9.6%</w:t>
            </w:r>
          </w:p>
          <w:p w14:paraId="5A488574" w14:textId="77777777" w:rsidR="0020333E" w:rsidRDefault="0020333E">
            <w:pPr>
              <w:ind w:left="165" w:hanging="165"/>
              <w:jc w:val="both"/>
              <w:rPr>
                <w:rFonts w:ascii="Bookman Old Style" w:eastAsia="Bookman Old Style" w:hAnsi="Bookman Old Style" w:cs="Bookman Old Style"/>
                <w:sz w:val="22"/>
                <w:szCs w:val="22"/>
              </w:rPr>
            </w:pPr>
          </w:p>
          <w:p w14:paraId="6B1F2F49" w14:textId="3CEC7B4A" w:rsidR="0020333E" w:rsidRPr="002D2978" w:rsidRDefault="002D2978" w:rsidP="002D2978">
            <w:pPr>
              <w:ind w:left="165" w:hanging="165"/>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-7.1</w:t>
            </w:r>
            <w:r w:rsidR="0055139F">
              <w:rPr>
                <w:rFonts w:ascii="Bookman Old Style" w:eastAsia="Bookman Old Style" w:hAnsi="Bookman Old Style" w:cs="Bookman Old Style"/>
                <w:sz w:val="22"/>
                <w:szCs w:val="22"/>
              </w:rPr>
              <w:t>%</w:t>
            </w:r>
          </w:p>
        </w:tc>
      </w:tr>
      <w:tr w:rsidR="0020333E" w14:paraId="6E8CC2E7" w14:textId="77777777" w:rsidTr="006C2863">
        <w:trPr>
          <w:trHeight w:val="4253"/>
        </w:trPr>
        <w:tc>
          <w:tcPr>
            <w:tcW w:w="1679" w:type="dxa"/>
            <w:tcBorders>
              <w:top w:val="single" w:sz="4" w:space="0" w:color="000000"/>
              <w:bottom w:val="single" w:sz="4" w:space="0" w:color="000000"/>
              <w:right w:val="single" w:sz="4" w:space="0" w:color="000000"/>
            </w:tcBorders>
          </w:tcPr>
          <w:p w14:paraId="2E6DF2C9" w14:textId="77777777" w:rsidR="0020333E" w:rsidRDefault="0020333E">
            <w:pPr>
              <w:jc w:val="both"/>
              <w:rPr>
                <w:rFonts w:ascii="Bookman Old Style" w:eastAsia="Bookman Old Style" w:hAnsi="Bookman Old Style" w:cs="Bookman Old Style"/>
                <w:color w:val="auto"/>
                <w:sz w:val="22"/>
                <w:szCs w:val="22"/>
              </w:rPr>
            </w:pPr>
          </w:p>
          <w:p w14:paraId="4B07DD17" w14:textId="77777777" w:rsidR="0020333E" w:rsidRDefault="0020333E">
            <w:pPr>
              <w:jc w:val="both"/>
              <w:rPr>
                <w:rFonts w:ascii="Bookman Old Style" w:eastAsia="Bookman Old Style" w:hAnsi="Bookman Old Style" w:cs="Bookman Old Style"/>
                <w:color w:val="auto"/>
                <w:sz w:val="22"/>
                <w:szCs w:val="22"/>
              </w:rPr>
            </w:pPr>
          </w:p>
          <w:p w14:paraId="07B98D8E" w14:textId="77777777" w:rsidR="0020333E" w:rsidRDefault="0020333E">
            <w:pPr>
              <w:jc w:val="both"/>
              <w:rPr>
                <w:rFonts w:ascii="Bookman Old Style" w:eastAsia="Bookman Old Style" w:hAnsi="Bookman Old Style" w:cs="Bookman Old Style"/>
                <w:color w:val="auto"/>
                <w:sz w:val="22"/>
                <w:szCs w:val="22"/>
              </w:rPr>
            </w:pPr>
          </w:p>
          <w:p w14:paraId="74783E06" w14:textId="77777777" w:rsidR="0020333E" w:rsidRDefault="0020333E">
            <w:pPr>
              <w:jc w:val="both"/>
              <w:rPr>
                <w:rFonts w:ascii="Bookman Old Style" w:eastAsia="Bookman Old Style" w:hAnsi="Bookman Old Style" w:cs="Bookman Old Style"/>
                <w:color w:val="auto"/>
                <w:sz w:val="22"/>
                <w:szCs w:val="22"/>
              </w:rPr>
            </w:pPr>
          </w:p>
          <w:p w14:paraId="43F06A49" w14:textId="77777777" w:rsidR="0020333E" w:rsidRDefault="0020333E">
            <w:pPr>
              <w:jc w:val="both"/>
              <w:rPr>
                <w:rFonts w:ascii="Bookman Old Style" w:eastAsia="Bookman Old Style" w:hAnsi="Bookman Old Style" w:cs="Bookman Old Style"/>
                <w:color w:val="auto"/>
                <w:sz w:val="22"/>
                <w:szCs w:val="22"/>
              </w:rPr>
            </w:pPr>
          </w:p>
          <w:p w14:paraId="792A40F7" w14:textId="77777777" w:rsidR="0020333E" w:rsidRDefault="0020333E">
            <w:pPr>
              <w:jc w:val="center"/>
              <w:rPr>
                <w:rFonts w:ascii="Bookman Old Style" w:eastAsia="Bookman Old Style" w:hAnsi="Bookman Old Style" w:cs="Bookman Old Style"/>
                <w:color w:val="auto"/>
                <w:sz w:val="22"/>
                <w:szCs w:val="22"/>
              </w:rPr>
            </w:pPr>
          </w:p>
          <w:p w14:paraId="650B4AC0" w14:textId="77777777" w:rsidR="0020333E" w:rsidRDefault="0055139F">
            <w:pPr>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Services </w:t>
            </w:r>
          </w:p>
          <w:p w14:paraId="7D3F8DE0" w14:textId="3C22AB8B" w:rsidR="0020333E" w:rsidRDefault="0055139F">
            <w:pPr>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w:t>
            </w:r>
            <w:r w:rsidR="009679DF">
              <w:rPr>
                <w:rFonts w:ascii="Bookman Old Style" w:eastAsia="Bookman Old Style" w:hAnsi="Bookman Old Style" w:cs="Bookman Old Style"/>
                <w:color w:val="auto"/>
                <w:sz w:val="22"/>
                <w:szCs w:val="22"/>
              </w:rPr>
              <w:t>7.6</w:t>
            </w:r>
            <w:r>
              <w:rPr>
                <w:rFonts w:ascii="Bookman Old Style" w:eastAsia="Bookman Old Style" w:hAnsi="Bookman Old Style" w:cs="Bookman Old Style"/>
                <w:color w:val="auto"/>
                <w:sz w:val="22"/>
                <w:szCs w:val="22"/>
              </w:rPr>
              <w:t>%)</w:t>
            </w:r>
          </w:p>
          <w:p w14:paraId="0A32BA52" w14:textId="77777777" w:rsidR="0020333E" w:rsidRDefault="0020333E">
            <w:pPr>
              <w:rPr>
                <w:rFonts w:ascii="Bookman Old Style" w:eastAsia="Bookman Old Style" w:hAnsi="Bookman Old Style" w:cs="Bookman Old Style"/>
                <w:sz w:val="22"/>
                <w:szCs w:val="22"/>
              </w:rPr>
            </w:pPr>
          </w:p>
          <w:p w14:paraId="57229DA6" w14:textId="77777777" w:rsidR="0020333E" w:rsidRDefault="0020333E">
            <w:pPr>
              <w:rPr>
                <w:rFonts w:ascii="Bookman Old Style" w:eastAsia="Bookman Old Style" w:hAnsi="Bookman Old Style" w:cs="Bookman Old Style"/>
                <w:sz w:val="22"/>
                <w:szCs w:val="22"/>
              </w:rPr>
            </w:pPr>
          </w:p>
          <w:p w14:paraId="6606DC8B" w14:textId="77777777" w:rsidR="0020333E" w:rsidRDefault="0020333E">
            <w:pPr>
              <w:rPr>
                <w:rFonts w:ascii="Bookman Old Style" w:eastAsia="Bookman Old Style" w:hAnsi="Bookman Old Style" w:cs="Bookman Old Style"/>
                <w:sz w:val="22"/>
                <w:szCs w:val="22"/>
              </w:rPr>
            </w:pPr>
          </w:p>
          <w:p w14:paraId="3047A846" w14:textId="77777777" w:rsidR="0020333E" w:rsidRDefault="0020333E">
            <w:pPr>
              <w:rPr>
                <w:rFonts w:ascii="Bookman Old Style" w:eastAsia="Bookman Old Style" w:hAnsi="Bookman Old Style" w:cs="Bookman Old Style"/>
                <w:sz w:val="22"/>
                <w:szCs w:val="22"/>
              </w:rPr>
            </w:pPr>
          </w:p>
          <w:p w14:paraId="480F4EDC" w14:textId="77777777" w:rsidR="0020333E" w:rsidRDefault="0020333E">
            <w:pPr>
              <w:rPr>
                <w:rFonts w:ascii="Bookman Old Style" w:eastAsia="Bookman Old Style" w:hAnsi="Bookman Old Style" w:cs="Bookman Old Style"/>
                <w:sz w:val="22"/>
                <w:szCs w:val="22"/>
              </w:rPr>
            </w:pPr>
          </w:p>
          <w:p w14:paraId="0E512810" w14:textId="77777777" w:rsidR="0020333E" w:rsidRDefault="0020333E">
            <w:pPr>
              <w:rPr>
                <w:rFonts w:ascii="Bookman Old Style" w:eastAsia="Bookman Old Style" w:hAnsi="Bookman Old Style" w:cs="Bookman Old Style"/>
                <w:sz w:val="22"/>
                <w:szCs w:val="22"/>
              </w:rPr>
            </w:pPr>
          </w:p>
          <w:p w14:paraId="5A7AB4FE" w14:textId="77777777" w:rsidR="0020333E" w:rsidRDefault="0020333E">
            <w:pPr>
              <w:rPr>
                <w:rFonts w:ascii="Bookman Old Style" w:eastAsia="Bookman Old Style" w:hAnsi="Bookman Old Style" w:cs="Bookman Old Style"/>
                <w:sz w:val="22"/>
                <w:szCs w:val="22"/>
              </w:rPr>
            </w:pPr>
          </w:p>
          <w:p w14:paraId="307E638B" w14:textId="77777777" w:rsidR="0020333E" w:rsidRDefault="0020333E">
            <w:pPr>
              <w:rPr>
                <w:rFonts w:ascii="Bookman Old Style" w:eastAsia="Bookman Old Style" w:hAnsi="Bookman Old Style" w:cs="Bookman Old Style"/>
                <w:sz w:val="22"/>
                <w:szCs w:val="22"/>
              </w:rPr>
            </w:pPr>
          </w:p>
          <w:p w14:paraId="7BBD9B37" w14:textId="77777777" w:rsidR="0020333E" w:rsidRDefault="0020333E">
            <w:pPr>
              <w:rPr>
                <w:rFonts w:ascii="Bookman Old Style" w:eastAsia="Bookman Old Style" w:hAnsi="Bookman Old Style" w:cs="Bookman Old Style"/>
                <w:sz w:val="22"/>
                <w:szCs w:val="22"/>
              </w:rPr>
            </w:pPr>
          </w:p>
          <w:p w14:paraId="33F89760" w14:textId="77777777" w:rsidR="0020333E" w:rsidRDefault="0020333E">
            <w:pPr>
              <w:rPr>
                <w:rFonts w:ascii="Bookman Old Style" w:eastAsia="Bookman Old Style" w:hAnsi="Bookman Old Style" w:cs="Bookman Old Style"/>
                <w:color w:val="auto"/>
                <w:sz w:val="22"/>
                <w:szCs w:val="22"/>
              </w:rPr>
            </w:pPr>
          </w:p>
          <w:p w14:paraId="62D4043B" w14:textId="77777777" w:rsidR="0020333E" w:rsidRDefault="0055139F">
            <w:pPr>
              <w:tabs>
                <w:tab w:val="left" w:pos="1450"/>
              </w:tabs>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ab/>
            </w:r>
          </w:p>
        </w:tc>
        <w:tc>
          <w:tcPr>
            <w:tcW w:w="3145" w:type="dxa"/>
            <w:tcBorders>
              <w:top w:val="single" w:sz="4" w:space="0" w:color="000000"/>
              <w:left w:val="single" w:sz="4" w:space="0" w:color="000000"/>
              <w:bottom w:val="single" w:sz="4" w:space="0" w:color="000000"/>
            </w:tcBorders>
          </w:tcPr>
          <w:p w14:paraId="7AB33AC6" w14:textId="77777777" w:rsidR="0020333E" w:rsidRDefault="0055139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Information &amp;  </w:t>
            </w:r>
          </w:p>
          <w:p w14:paraId="48E2BAFC" w14:textId="77777777" w:rsidR="0020333E" w:rsidRDefault="0055139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Communication</w:t>
            </w:r>
          </w:p>
          <w:p w14:paraId="3D2C3588" w14:textId="77777777" w:rsidR="0020333E" w:rsidRDefault="0020333E">
            <w:pPr>
              <w:jc w:val="both"/>
              <w:rPr>
                <w:rFonts w:ascii="Bookman Old Style" w:eastAsia="Bookman Old Style" w:hAnsi="Bookman Old Style" w:cs="Bookman Old Style"/>
                <w:color w:val="auto"/>
                <w:sz w:val="22"/>
                <w:szCs w:val="22"/>
              </w:rPr>
            </w:pPr>
          </w:p>
          <w:p w14:paraId="248AA2D9" w14:textId="77777777" w:rsidR="00325F4F" w:rsidRDefault="00325F4F" w:rsidP="00325F4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Public Administration &amp;</w:t>
            </w:r>
          </w:p>
          <w:p w14:paraId="4517F0B9" w14:textId="77777777" w:rsidR="00325F4F" w:rsidRDefault="00325F4F" w:rsidP="00325F4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Defense, Social Security</w:t>
            </w:r>
          </w:p>
          <w:p w14:paraId="7885ACF4" w14:textId="77777777" w:rsidR="00325F4F" w:rsidRDefault="00325F4F" w:rsidP="00325F4F">
            <w:pPr>
              <w:jc w:val="both"/>
              <w:rPr>
                <w:rFonts w:ascii="Bookman Old Style" w:eastAsia="Bookman Old Style" w:hAnsi="Bookman Old Style" w:cs="Bookman Old Style"/>
                <w:color w:val="auto"/>
                <w:sz w:val="22"/>
                <w:szCs w:val="22"/>
              </w:rPr>
            </w:pPr>
          </w:p>
          <w:p w14:paraId="640E7008" w14:textId="427AB52F" w:rsidR="0020333E" w:rsidRDefault="0055139F" w:rsidP="00325F4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Education </w:t>
            </w:r>
          </w:p>
          <w:p w14:paraId="18ECC3A4" w14:textId="77777777" w:rsidR="0020333E" w:rsidRDefault="0020333E">
            <w:pPr>
              <w:rPr>
                <w:rFonts w:ascii="Bookman Old Style" w:eastAsia="Bookman Old Style" w:hAnsi="Bookman Old Style" w:cs="Bookman Old Style"/>
                <w:color w:val="auto"/>
                <w:sz w:val="22"/>
                <w:szCs w:val="22"/>
              </w:rPr>
            </w:pPr>
          </w:p>
          <w:p w14:paraId="4E1A3129" w14:textId="77777777"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Health &amp; Social Work</w:t>
            </w:r>
          </w:p>
          <w:p w14:paraId="5DDCCFC7" w14:textId="77777777" w:rsidR="0020333E" w:rsidRDefault="0020333E">
            <w:pPr>
              <w:jc w:val="both"/>
              <w:rPr>
                <w:rFonts w:ascii="Bookman Old Style" w:eastAsia="Bookman Old Style" w:hAnsi="Bookman Old Style" w:cs="Bookman Old Style"/>
                <w:color w:val="auto"/>
                <w:sz w:val="22"/>
                <w:szCs w:val="22"/>
              </w:rPr>
            </w:pPr>
          </w:p>
          <w:p w14:paraId="6D94F716" w14:textId="77777777" w:rsidR="00325F4F" w:rsidRDefault="00325F4F" w:rsidP="00325F4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Finance &amp; Insurance</w:t>
            </w:r>
          </w:p>
          <w:p w14:paraId="2531E206" w14:textId="77777777" w:rsidR="00325F4F" w:rsidRDefault="00325F4F">
            <w:pPr>
              <w:rPr>
                <w:rFonts w:ascii="Bookman Old Style" w:eastAsia="Bookman Old Style" w:hAnsi="Bookman Old Style" w:cs="Bookman Old Style"/>
                <w:color w:val="auto"/>
                <w:sz w:val="22"/>
                <w:szCs w:val="22"/>
              </w:rPr>
            </w:pPr>
          </w:p>
          <w:p w14:paraId="7B1BF5FB" w14:textId="06D7F07F"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Transport &amp; Storage</w:t>
            </w:r>
          </w:p>
          <w:p w14:paraId="7AB8A593" w14:textId="77777777" w:rsidR="0020333E" w:rsidRDefault="0020333E">
            <w:pPr>
              <w:jc w:val="both"/>
              <w:rPr>
                <w:rFonts w:ascii="Bookman Old Style" w:eastAsia="Bookman Old Style" w:hAnsi="Bookman Old Style" w:cs="Bookman Old Style"/>
                <w:color w:val="auto"/>
                <w:sz w:val="22"/>
                <w:szCs w:val="22"/>
              </w:rPr>
            </w:pPr>
          </w:p>
          <w:p w14:paraId="72FF950D" w14:textId="5A4F6F74" w:rsidR="0020333E" w:rsidRDefault="00325F4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Trade, Repair of Vehicle, Household Goods                   </w:t>
            </w:r>
          </w:p>
          <w:p w14:paraId="092D48FE" w14:textId="77777777" w:rsidR="0020333E" w:rsidRDefault="0020333E">
            <w:pPr>
              <w:jc w:val="both"/>
              <w:rPr>
                <w:rFonts w:ascii="Bookman Old Style" w:eastAsia="Bookman Old Style" w:hAnsi="Bookman Old Style" w:cs="Bookman Old Style"/>
                <w:color w:val="auto"/>
                <w:sz w:val="22"/>
                <w:szCs w:val="22"/>
              </w:rPr>
            </w:pPr>
          </w:p>
          <w:p w14:paraId="70881FB0" w14:textId="77777777" w:rsidR="00325F4F" w:rsidRDefault="00325F4F" w:rsidP="00325F4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Hotel &amp; Restaurants   </w:t>
            </w:r>
          </w:p>
          <w:p w14:paraId="2955ECCD" w14:textId="77777777" w:rsidR="0020333E" w:rsidRDefault="0020333E">
            <w:pPr>
              <w:jc w:val="both"/>
              <w:rPr>
                <w:rFonts w:ascii="Bookman Old Style" w:eastAsia="Bookman Old Style" w:hAnsi="Bookman Old Style" w:cs="Bookman Old Style"/>
                <w:color w:val="auto"/>
                <w:sz w:val="22"/>
                <w:szCs w:val="22"/>
              </w:rPr>
            </w:pPr>
          </w:p>
          <w:p w14:paraId="311AE16F" w14:textId="77777777" w:rsidR="00325F4F" w:rsidRDefault="00325F4F" w:rsidP="00325F4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Other Personal Service </w:t>
            </w:r>
          </w:p>
          <w:p w14:paraId="6F4734F7" w14:textId="0DFAAC05" w:rsidR="00325F4F" w:rsidRDefault="00325F4F" w:rsidP="00325F4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Activities                           </w:t>
            </w:r>
          </w:p>
          <w:p w14:paraId="74425DF1" w14:textId="77777777" w:rsidR="00325F4F" w:rsidRDefault="00325F4F">
            <w:pPr>
              <w:jc w:val="both"/>
              <w:rPr>
                <w:rFonts w:ascii="Bookman Old Style" w:eastAsia="Bookman Old Style" w:hAnsi="Bookman Old Style" w:cs="Bookman Old Style"/>
                <w:color w:val="auto"/>
                <w:sz w:val="22"/>
                <w:szCs w:val="22"/>
              </w:rPr>
            </w:pPr>
          </w:p>
          <w:p w14:paraId="606A349C" w14:textId="77777777" w:rsidR="0020333E" w:rsidRDefault="0020333E">
            <w:pPr>
              <w:rPr>
                <w:rFonts w:ascii="Bookman Old Style" w:eastAsia="Bookman Old Style" w:hAnsi="Bookman Old Style" w:cs="Bookman Old Style"/>
                <w:color w:val="auto"/>
                <w:sz w:val="22"/>
                <w:szCs w:val="22"/>
              </w:rPr>
            </w:pPr>
          </w:p>
        </w:tc>
        <w:tc>
          <w:tcPr>
            <w:tcW w:w="1111" w:type="dxa"/>
            <w:tcBorders>
              <w:top w:val="single" w:sz="4" w:space="0" w:color="000000"/>
              <w:bottom w:val="single" w:sz="4" w:space="0" w:color="000000"/>
              <w:right w:val="single" w:sz="4" w:space="0" w:color="000000"/>
            </w:tcBorders>
          </w:tcPr>
          <w:p w14:paraId="65713117" w14:textId="77777777"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p w14:paraId="42753930" w14:textId="5BF793EF"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r w:rsidR="00B3578F">
              <w:rPr>
                <w:rFonts w:ascii="Bookman Old Style" w:eastAsia="Bookman Old Style" w:hAnsi="Bookman Old Style" w:cs="Bookman Old Style"/>
                <w:sz w:val="22"/>
                <w:szCs w:val="22"/>
              </w:rPr>
              <w:t xml:space="preserve"> </w:t>
            </w:r>
            <w:r w:rsidR="00325F4F">
              <w:rPr>
                <w:rFonts w:ascii="Bookman Old Style" w:eastAsia="Bookman Old Style" w:hAnsi="Bookman Old Style" w:cs="Bookman Old Style"/>
                <w:sz w:val="22"/>
                <w:szCs w:val="22"/>
              </w:rPr>
              <w:t>20.5</w:t>
            </w:r>
            <w:r>
              <w:rPr>
                <w:rFonts w:ascii="Bookman Old Style" w:eastAsia="Bookman Old Style" w:hAnsi="Bookman Old Style" w:cs="Bookman Old Style"/>
                <w:sz w:val="22"/>
                <w:szCs w:val="22"/>
              </w:rPr>
              <w:t>%</w:t>
            </w:r>
          </w:p>
          <w:p w14:paraId="261FCD9E" w14:textId="77777777" w:rsidR="0020333E" w:rsidRDefault="0020333E">
            <w:pPr>
              <w:rPr>
                <w:rFonts w:ascii="Bookman Old Style" w:eastAsia="Bookman Old Style" w:hAnsi="Bookman Old Style" w:cs="Bookman Old Style"/>
                <w:sz w:val="22"/>
                <w:szCs w:val="22"/>
              </w:rPr>
            </w:pPr>
          </w:p>
          <w:p w14:paraId="644B00F3" w14:textId="77777777" w:rsidR="00325F4F"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p w14:paraId="2D1FDE72" w14:textId="22D74CAE" w:rsidR="0020333E" w:rsidRDefault="00325F4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r w:rsidR="0055139F">
              <w:rPr>
                <w:rFonts w:ascii="Bookman Old Style" w:eastAsia="Bookman Old Style" w:hAnsi="Bookman Old Style" w:cs="Bookman Old Style"/>
                <w:sz w:val="22"/>
                <w:szCs w:val="22"/>
              </w:rPr>
              <w:t>1</w:t>
            </w:r>
            <w:r>
              <w:rPr>
                <w:rFonts w:ascii="Bookman Old Style" w:eastAsia="Bookman Old Style" w:hAnsi="Bookman Old Style" w:cs="Bookman Old Style"/>
                <w:sz w:val="22"/>
                <w:szCs w:val="22"/>
              </w:rPr>
              <w:t>5.7</w:t>
            </w:r>
            <w:r w:rsidR="0055139F">
              <w:rPr>
                <w:rFonts w:ascii="Bookman Old Style" w:eastAsia="Bookman Old Style" w:hAnsi="Bookman Old Style" w:cs="Bookman Old Style"/>
                <w:sz w:val="22"/>
                <w:szCs w:val="22"/>
              </w:rPr>
              <w:t>%</w:t>
            </w:r>
          </w:p>
          <w:p w14:paraId="3AA59029" w14:textId="77777777" w:rsidR="0020333E" w:rsidRDefault="0020333E">
            <w:pPr>
              <w:rPr>
                <w:rFonts w:ascii="Bookman Old Style" w:eastAsia="Bookman Old Style" w:hAnsi="Bookman Old Style" w:cs="Bookman Old Style"/>
                <w:sz w:val="22"/>
                <w:szCs w:val="22"/>
              </w:rPr>
            </w:pPr>
          </w:p>
          <w:p w14:paraId="7C983913" w14:textId="00741EC8"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r w:rsidR="00325F4F">
              <w:rPr>
                <w:rFonts w:ascii="Bookman Old Style" w:eastAsia="Bookman Old Style" w:hAnsi="Bookman Old Style" w:cs="Bookman Old Style"/>
                <w:sz w:val="22"/>
                <w:szCs w:val="22"/>
              </w:rPr>
              <w:t>12.3</w:t>
            </w:r>
            <w:r>
              <w:rPr>
                <w:rFonts w:ascii="Bookman Old Style" w:eastAsia="Bookman Old Style" w:hAnsi="Bookman Old Style" w:cs="Bookman Old Style"/>
                <w:sz w:val="22"/>
                <w:szCs w:val="22"/>
              </w:rPr>
              <w:t>%</w:t>
            </w:r>
          </w:p>
          <w:p w14:paraId="76D29957" w14:textId="77777777" w:rsidR="0020333E" w:rsidRDefault="0020333E">
            <w:pPr>
              <w:rPr>
                <w:rFonts w:ascii="Bookman Old Style" w:eastAsia="Bookman Old Style" w:hAnsi="Bookman Old Style" w:cs="Bookman Old Style"/>
                <w:sz w:val="22"/>
                <w:szCs w:val="22"/>
              </w:rPr>
            </w:pPr>
          </w:p>
          <w:p w14:paraId="0851A029" w14:textId="0CE51FA5"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r w:rsidR="00325F4F">
              <w:rPr>
                <w:rFonts w:ascii="Bookman Old Style" w:eastAsia="Bookman Old Style" w:hAnsi="Bookman Old Style" w:cs="Bookman Old Style"/>
                <w:color w:val="auto"/>
                <w:sz w:val="22"/>
                <w:szCs w:val="22"/>
              </w:rPr>
              <w:t>10.5</w:t>
            </w:r>
            <w:r>
              <w:rPr>
                <w:rFonts w:ascii="Bookman Old Style" w:eastAsia="Bookman Old Style" w:hAnsi="Bookman Old Style" w:cs="Bookman Old Style"/>
                <w:color w:val="auto"/>
                <w:sz w:val="22"/>
                <w:szCs w:val="22"/>
              </w:rPr>
              <w:t>%</w:t>
            </w:r>
          </w:p>
          <w:p w14:paraId="3E79FA9E" w14:textId="77777777" w:rsidR="0020333E" w:rsidRDefault="0020333E">
            <w:pPr>
              <w:rPr>
                <w:rFonts w:ascii="Bookman Old Style" w:eastAsia="Bookman Old Style" w:hAnsi="Bookman Old Style" w:cs="Bookman Old Style"/>
                <w:color w:val="auto"/>
                <w:sz w:val="22"/>
                <w:szCs w:val="22"/>
              </w:rPr>
            </w:pPr>
          </w:p>
          <w:p w14:paraId="6890624D" w14:textId="3C5BC146"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color w:val="auto"/>
                <w:sz w:val="22"/>
                <w:szCs w:val="22"/>
              </w:rPr>
              <w:t xml:space="preserve">   </w:t>
            </w:r>
            <w:r w:rsidR="00325F4F">
              <w:rPr>
                <w:rFonts w:ascii="Bookman Old Style" w:eastAsia="Bookman Old Style" w:hAnsi="Bookman Old Style" w:cs="Bookman Old Style"/>
                <w:color w:val="auto"/>
                <w:sz w:val="22"/>
                <w:szCs w:val="22"/>
              </w:rPr>
              <w:t xml:space="preserve"> 8.6</w:t>
            </w:r>
            <w:r>
              <w:rPr>
                <w:rFonts w:ascii="Bookman Old Style" w:eastAsia="Bookman Old Style" w:hAnsi="Bookman Old Style" w:cs="Bookman Old Style"/>
                <w:color w:val="auto"/>
                <w:sz w:val="22"/>
                <w:szCs w:val="22"/>
              </w:rPr>
              <w:t>%</w:t>
            </w:r>
          </w:p>
          <w:p w14:paraId="06181B30" w14:textId="77777777" w:rsidR="0020333E" w:rsidRDefault="0020333E">
            <w:pPr>
              <w:rPr>
                <w:rFonts w:ascii="Bookman Old Style" w:eastAsia="Bookman Old Style" w:hAnsi="Bookman Old Style" w:cs="Bookman Old Style"/>
                <w:sz w:val="22"/>
                <w:szCs w:val="22"/>
              </w:rPr>
            </w:pPr>
          </w:p>
          <w:p w14:paraId="3FC15DD4" w14:textId="7839665A" w:rsidR="00325F4F"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r w:rsidR="00325F4F">
              <w:rPr>
                <w:rFonts w:ascii="Bookman Old Style" w:eastAsia="Bookman Old Style" w:hAnsi="Bookman Old Style" w:cs="Bookman Old Style"/>
                <w:sz w:val="22"/>
                <w:szCs w:val="22"/>
              </w:rPr>
              <w:t xml:space="preserve">   3.9</w:t>
            </w:r>
            <w:r>
              <w:rPr>
                <w:rFonts w:ascii="Bookman Old Style" w:eastAsia="Bookman Old Style" w:hAnsi="Bookman Old Style" w:cs="Bookman Old Style"/>
                <w:sz w:val="22"/>
                <w:szCs w:val="22"/>
              </w:rPr>
              <w:t>%</w:t>
            </w:r>
          </w:p>
          <w:p w14:paraId="323A8026" w14:textId="77777777" w:rsidR="0020333E" w:rsidRDefault="0020333E">
            <w:pPr>
              <w:rPr>
                <w:rFonts w:ascii="Bookman Old Style" w:eastAsia="Bookman Old Style" w:hAnsi="Bookman Old Style" w:cs="Bookman Old Style"/>
                <w:sz w:val="22"/>
                <w:szCs w:val="22"/>
              </w:rPr>
            </w:pPr>
          </w:p>
          <w:p w14:paraId="0952FE29" w14:textId="77777777" w:rsidR="0020333E" w:rsidRDefault="0020333E">
            <w:pPr>
              <w:rPr>
                <w:rFonts w:ascii="Bookman Old Style" w:eastAsia="Bookman Old Style" w:hAnsi="Bookman Old Style" w:cs="Bookman Old Style"/>
                <w:sz w:val="22"/>
                <w:szCs w:val="22"/>
              </w:rPr>
            </w:pPr>
          </w:p>
          <w:p w14:paraId="4AD97408" w14:textId="77777777" w:rsidR="0020333E" w:rsidRDefault="00325F4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2.6%</w:t>
            </w:r>
          </w:p>
          <w:p w14:paraId="624BEB76" w14:textId="77777777" w:rsidR="00325F4F" w:rsidRDefault="00325F4F" w:rsidP="00325F4F">
            <w:pPr>
              <w:rPr>
                <w:rFonts w:ascii="Bookman Old Style" w:eastAsia="Bookman Old Style" w:hAnsi="Bookman Old Style" w:cs="Bookman Old Style"/>
                <w:sz w:val="22"/>
                <w:szCs w:val="22"/>
              </w:rPr>
            </w:pPr>
          </w:p>
          <w:p w14:paraId="33EAC18D" w14:textId="77777777" w:rsidR="00325F4F" w:rsidRDefault="00325F4F" w:rsidP="00325F4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2.4%</w:t>
            </w:r>
          </w:p>
          <w:p w14:paraId="159D224C" w14:textId="77777777" w:rsidR="00325F4F" w:rsidRPr="00325F4F" w:rsidRDefault="00325F4F" w:rsidP="00325F4F">
            <w:pPr>
              <w:rPr>
                <w:rFonts w:ascii="Bookman Old Style" w:eastAsia="Bookman Old Style" w:hAnsi="Bookman Old Style" w:cs="Bookman Old Style"/>
                <w:sz w:val="22"/>
                <w:szCs w:val="22"/>
              </w:rPr>
            </w:pPr>
          </w:p>
          <w:p w14:paraId="5EE22898" w14:textId="77777777" w:rsidR="00325F4F" w:rsidRDefault="00325F4F" w:rsidP="00325F4F">
            <w:pPr>
              <w:rPr>
                <w:rFonts w:ascii="Bookman Old Style" w:eastAsia="Bookman Old Style" w:hAnsi="Bookman Old Style" w:cs="Bookman Old Style"/>
                <w:sz w:val="22"/>
                <w:szCs w:val="22"/>
              </w:rPr>
            </w:pPr>
          </w:p>
          <w:p w14:paraId="4FED21E4" w14:textId="42870CFB" w:rsidR="00325F4F" w:rsidRPr="00325F4F" w:rsidRDefault="00325F4F" w:rsidP="00325F4F">
            <w:pPr>
              <w:rPr>
                <w:rFonts w:ascii="Bookman Old Style" w:eastAsia="Bookman Old Style" w:hAnsi="Bookman Old Style" w:cs="Bookman Old Style"/>
                <w:sz w:val="22"/>
                <w:szCs w:val="22"/>
              </w:rPr>
            </w:pPr>
            <w:r>
              <w:rPr>
                <w:rFonts w:ascii="Bookman Old Style" w:eastAsia="Bookman Old Style" w:hAnsi="Bookman Old Style" w:cs="Bookman Old Style"/>
                <w:color w:val="auto"/>
                <w:sz w:val="22"/>
                <w:szCs w:val="22"/>
              </w:rPr>
              <w:t xml:space="preserve">     0.9%</w:t>
            </w:r>
          </w:p>
        </w:tc>
        <w:tc>
          <w:tcPr>
            <w:tcW w:w="1864" w:type="dxa"/>
            <w:tcBorders>
              <w:top w:val="single" w:sz="4" w:space="0" w:color="000000"/>
              <w:left w:val="single" w:sz="4" w:space="0" w:color="000000"/>
              <w:bottom w:val="single" w:sz="4" w:space="0" w:color="000000"/>
            </w:tcBorders>
          </w:tcPr>
          <w:p w14:paraId="5C8E4417" w14:textId="0AE94D18" w:rsidR="0020333E" w:rsidRDefault="0055139F" w:rsidP="00325F4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Real Estate</w:t>
            </w:r>
          </w:p>
          <w:p w14:paraId="1FFD61EE" w14:textId="77777777" w:rsidR="00325F4F" w:rsidRDefault="00325F4F" w:rsidP="00325F4F">
            <w:pPr>
              <w:rPr>
                <w:rFonts w:ascii="Bookman Old Style" w:eastAsia="Bookman Old Style" w:hAnsi="Bookman Old Style" w:cs="Bookman Old Style"/>
                <w:color w:val="auto"/>
                <w:sz w:val="22"/>
                <w:szCs w:val="22"/>
              </w:rPr>
            </w:pPr>
          </w:p>
          <w:p w14:paraId="591D7DCD" w14:textId="77777777" w:rsidR="00325F4F" w:rsidRDefault="00325F4F" w:rsidP="00325F4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Professional, </w:t>
            </w:r>
          </w:p>
          <w:p w14:paraId="5B7011B7" w14:textId="77777777" w:rsidR="00325F4F" w:rsidRDefault="00325F4F" w:rsidP="00325F4F">
            <w:pPr>
              <w:ind w:right="-96"/>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Administrative &amp; Support                        </w:t>
            </w:r>
          </w:p>
          <w:p w14:paraId="4B744CBB" w14:textId="42788129" w:rsidR="0020333E" w:rsidRDefault="0020333E">
            <w:pPr>
              <w:rPr>
                <w:rFonts w:ascii="Bookman Old Style" w:eastAsia="Bookman Old Style" w:hAnsi="Bookman Old Style" w:cs="Bookman Old Style"/>
                <w:color w:val="auto"/>
                <w:sz w:val="22"/>
                <w:szCs w:val="22"/>
              </w:rPr>
            </w:pPr>
          </w:p>
        </w:tc>
        <w:tc>
          <w:tcPr>
            <w:tcW w:w="2396" w:type="dxa"/>
            <w:tcBorders>
              <w:top w:val="single" w:sz="4" w:space="0" w:color="000000"/>
              <w:bottom w:val="single" w:sz="4" w:space="0" w:color="000000"/>
            </w:tcBorders>
          </w:tcPr>
          <w:p w14:paraId="47B08B82" w14:textId="35BC111D" w:rsidR="0020333E" w:rsidRDefault="0055139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r w:rsidR="00325F4F">
              <w:rPr>
                <w:rFonts w:ascii="Bookman Old Style" w:eastAsia="Bookman Old Style" w:hAnsi="Bookman Old Style" w:cs="Bookman Old Style"/>
                <w:color w:val="auto"/>
                <w:sz w:val="22"/>
                <w:szCs w:val="22"/>
              </w:rPr>
              <w:t xml:space="preserve">                </w:t>
            </w:r>
            <w:r>
              <w:rPr>
                <w:rFonts w:ascii="Bookman Old Style" w:eastAsia="Bookman Old Style" w:hAnsi="Bookman Old Style" w:cs="Bookman Old Style"/>
                <w:color w:val="auto"/>
                <w:sz w:val="22"/>
                <w:szCs w:val="22"/>
              </w:rPr>
              <w:t xml:space="preserve">  </w:t>
            </w:r>
            <w:r w:rsidR="00325F4F">
              <w:rPr>
                <w:rFonts w:ascii="Bookman Old Style" w:eastAsia="Bookman Old Style" w:hAnsi="Bookman Old Style" w:cs="Bookman Old Style"/>
                <w:color w:val="auto"/>
                <w:sz w:val="22"/>
                <w:szCs w:val="22"/>
              </w:rPr>
              <w:t>-13.4%</w:t>
            </w:r>
          </w:p>
          <w:p w14:paraId="5AE4D171" w14:textId="77777777" w:rsidR="0020333E" w:rsidRDefault="0055139F">
            <w:pPr>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p w14:paraId="38ED860A" w14:textId="77777777" w:rsidR="00325F4F" w:rsidRDefault="0055139F">
            <w:pPr>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p w14:paraId="1743C660" w14:textId="41FF9B29" w:rsidR="0020333E" w:rsidRDefault="00325F4F">
            <w:pPr>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-7.7</w:t>
            </w:r>
            <w:r w:rsidR="0055139F">
              <w:rPr>
                <w:rFonts w:ascii="Bookman Old Style" w:eastAsia="Bookman Old Style" w:hAnsi="Bookman Old Style" w:cs="Bookman Old Style"/>
                <w:sz w:val="22"/>
                <w:szCs w:val="22"/>
              </w:rPr>
              <w:t>%</w:t>
            </w:r>
          </w:p>
          <w:p w14:paraId="1E1E210D" w14:textId="77777777" w:rsidR="0020333E" w:rsidRDefault="0055139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p>
          <w:p w14:paraId="04E6B0D7" w14:textId="77777777" w:rsidR="0020333E" w:rsidRDefault="0020333E">
            <w:pPr>
              <w:jc w:val="both"/>
              <w:rPr>
                <w:rFonts w:ascii="Bookman Old Style" w:eastAsia="Bookman Old Style" w:hAnsi="Bookman Old Style" w:cs="Bookman Old Style"/>
                <w:color w:val="auto"/>
                <w:sz w:val="22"/>
                <w:szCs w:val="22"/>
              </w:rPr>
            </w:pPr>
          </w:p>
          <w:p w14:paraId="211AD5AA" w14:textId="77777777" w:rsidR="0020333E" w:rsidRDefault="0020333E">
            <w:pPr>
              <w:jc w:val="both"/>
              <w:rPr>
                <w:rFonts w:ascii="Bookman Old Style" w:eastAsia="Bookman Old Style" w:hAnsi="Bookman Old Style" w:cs="Bookman Old Style"/>
                <w:color w:val="auto"/>
                <w:sz w:val="22"/>
                <w:szCs w:val="22"/>
              </w:rPr>
            </w:pPr>
          </w:p>
          <w:p w14:paraId="1D839F05" w14:textId="54D01EF5" w:rsidR="00325F4F" w:rsidRDefault="0055139F" w:rsidP="00325F4F">
            <w:pPr>
              <w:tabs>
                <w:tab w:val="right" w:pos="2167"/>
              </w:tabs>
              <w:jc w:val="both"/>
              <w:rPr>
                <w:rFonts w:ascii="Bookman Old Style" w:eastAsia="Bookman Old Style" w:hAnsi="Bookman Old Style" w:cs="Bookman Old Style"/>
                <w:sz w:val="22"/>
                <w:szCs w:val="22"/>
              </w:rPr>
            </w:pPr>
            <w:r>
              <w:rPr>
                <w:rFonts w:ascii="Bookman Old Style" w:eastAsia="Bookman Old Style" w:hAnsi="Bookman Old Style" w:cs="Bookman Old Style"/>
                <w:color w:val="auto"/>
                <w:sz w:val="22"/>
                <w:szCs w:val="22"/>
              </w:rPr>
              <w:t xml:space="preserve"> </w:t>
            </w:r>
            <w:r>
              <w:rPr>
                <w:rFonts w:ascii="Bookman Old Style" w:eastAsia="Bookman Old Style" w:hAnsi="Bookman Old Style" w:cs="Bookman Old Style"/>
                <w:color w:val="auto"/>
                <w:sz w:val="22"/>
                <w:szCs w:val="22"/>
              </w:rPr>
              <w:tab/>
            </w:r>
          </w:p>
          <w:p w14:paraId="096B2590" w14:textId="5209D006" w:rsidR="0020333E" w:rsidRDefault="0020333E">
            <w:pPr>
              <w:jc w:val="right"/>
              <w:rPr>
                <w:rFonts w:ascii="Bookman Old Style" w:eastAsia="Bookman Old Style" w:hAnsi="Bookman Old Style" w:cs="Bookman Old Style"/>
                <w:sz w:val="22"/>
                <w:szCs w:val="22"/>
              </w:rPr>
            </w:pPr>
          </w:p>
        </w:tc>
      </w:tr>
    </w:tbl>
    <w:p w14:paraId="291DFD99" w14:textId="77777777" w:rsidR="0020333E" w:rsidRDefault="0020333E">
      <w:pPr>
        <w:tabs>
          <w:tab w:val="left" w:pos="2790"/>
        </w:tabs>
        <w:jc w:val="both"/>
        <w:rPr>
          <w:rFonts w:ascii="Bookman Old Style" w:eastAsia="Bookman Old Style" w:hAnsi="Bookman Old Style" w:cs="Bookman Old Style"/>
          <w:b/>
        </w:rPr>
      </w:pPr>
    </w:p>
    <w:p w14:paraId="7E969CC9" w14:textId="77777777" w:rsidR="0020333E" w:rsidRDefault="0020333E">
      <w:pPr>
        <w:tabs>
          <w:tab w:val="left" w:pos="2790"/>
        </w:tabs>
        <w:jc w:val="both"/>
        <w:rPr>
          <w:rFonts w:ascii="Bookman Old Style" w:eastAsia="Bookman Old Style" w:hAnsi="Bookman Old Style" w:cs="Bookman Old Style"/>
          <w:b/>
        </w:rPr>
      </w:pPr>
    </w:p>
    <w:p w14:paraId="12CB4260" w14:textId="77777777" w:rsidR="0062388A" w:rsidRDefault="0062388A">
      <w:pPr>
        <w:tabs>
          <w:tab w:val="left" w:pos="2790"/>
        </w:tabs>
        <w:jc w:val="both"/>
        <w:rPr>
          <w:rFonts w:ascii="Bookman Old Style" w:eastAsia="Bookman Old Style" w:hAnsi="Bookman Old Style" w:cs="Bookman Old Style"/>
          <w:b/>
          <w:highlight w:val="red"/>
        </w:rPr>
      </w:pPr>
    </w:p>
    <w:p w14:paraId="08E21A3B" w14:textId="77777777" w:rsidR="0062388A" w:rsidRDefault="0062388A">
      <w:pPr>
        <w:tabs>
          <w:tab w:val="left" w:pos="2790"/>
        </w:tabs>
        <w:jc w:val="both"/>
        <w:rPr>
          <w:rFonts w:ascii="Bookman Old Style" w:eastAsia="Bookman Old Style" w:hAnsi="Bookman Old Style" w:cs="Bookman Old Style"/>
          <w:b/>
          <w:highlight w:val="red"/>
        </w:rPr>
      </w:pPr>
    </w:p>
    <w:p w14:paraId="7461E3D8" w14:textId="77777777" w:rsidR="0062388A" w:rsidRDefault="0062388A">
      <w:pPr>
        <w:tabs>
          <w:tab w:val="left" w:pos="2790"/>
        </w:tabs>
        <w:jc w:val="both"/>
        <w:rPr>
          <w:rFonts w:ascii="Bookman Old Style" w:eastAsia="Bookman Old Style" w:hAnsi="Bookman Old Style" w:cs="Bookman Old Style"/>
          <w:b/>
          <w:highlight w:val="red"/>
        </w:rPr>
      </w:pPr>
    </w:p>
    <w:p w14:paraId="37478D68" w14:textId="77777777" w:rsidR="0062388A" w:rsidRDefault="0062388A">
      <w:pPr>
        <w:tabs>
          <w:tab w:val="left" w:pos="2790"/>
        </w:tabs>
        <w:jc w:val="both"/>
        <w:rPr>
          <w:rFonts w:ascii="Bookman Old Style" w:eastAsia="Bookman Old Style" w:hAnsi="Bookman Old Style" w:cs="Bookman Old Style"/>
          <w:b/>
          <w:highlight w:val="red"/>
        </w:rPr>
      </w:pPr>
    </w:p>
    <w:p w14:paraId="19CF5239" w14:textId="77777777" w:rsidR="0062388A" w:rsidRDefault="0062388A">
      <w:pPr>
        <w:tabs>
          <w:tab w:val="left" w:pos="2790"/>
        </w:tabs>
        <w:jc w:val="both"/>
        <w:rPr>
          <w:rFonts w:ascii="Bookman Old Style" w:eastAsia="Bookman Old Style" w:hAnsi="Bookman Old Style" w:cs="Bookman Old Style"/>
          <w:b/>
          <w:highlight w:val="red"/>
        </w:rPr>
      </w:pPr>
    </w:p>
    <w:p w14:paraId="4563CAC8" w14:textId="77777777" w:rsidR="00652B89" w:rsidRDefault="00652B89">
      <w:pPr>
        <w:tabs>
          <w:tab w:val="left" w:pos="2790"/>
        </w:tabs>
        <w:jc w:val="both"/>
        <w:rPr>
          <w:rFonts w:ascii="Bookman Old Style" w:eastAsia="Bookman Old Style" w:hAnsi="Bookman Old Style" w:cs="Bookman Old Style"/>
          <w:b/>
          <w:highlight w:val="red"/>
        </w:rPr>
      </w:pPr>
    </w:p>
    <w:p w14:paraId="3380B05C" w14:textId="77777777" w:rsidR="00652B89" w:rsidRDefault="00652B89">
      <w:pPr>
        <w:tabs>
          <w:tab w:val="left" w:pos="2790"/>
        </w:tabs>
        <w:jc w:val="both"/>
        <w:rPr>
          <w:rFonts w:ascii="Bookman Old Style" w:eastAsia="Bookman Old Style" w:hAnsi="Bookman Old Style" w:cs="Bookman Old Style"/>
          <w:b/>
          <w:highlight w:val="red"/>
        </w:rPr>
      </w:pPr>
    </w:p>
    <w:p w14:paraId="28E20F2C" w14:textId="77777777" w:rsidR="00652B89" w:rsidRDefault="00652B89">
      <w:pPr>
        <w:tabs>
          <w:tab w:val="left" w:pos="2790"/>
        </w:tabs>
        <w:jc w:val="both"/>
        <w:rPr>
          <w:rFonts w:ascii="Bookman Old Style" w:eastAsia="Bookman Old Style" w:hAnsi="Bookman Old Style" w:cs="Bookman Old Style"/>
          <w:b/>
          <w:highlight w:val="red"/>
        </w:rPr>
      </w:pPr>
    </w:p>
    <w:p w14:paraId="7E5200D8" w14:textId="77777777" w:rsidR="00652B89" w:rsidRDefault="00652B89">
      <w:pPr>
        <w:tabs>
          <w:tab w:val="left" w:pos="2790"/>
        </w:tabs>
        <w:jc w:val="both"/>
        <w:rPr>
          <w:rFonts w:ascii="Bookman Old Style" w:eastAsia="Bookman Old Style" w:hAnsi="Bookman Old Style" w:cs="Bookman Old Style"/>
          <w:b/>
          <w:highlight w:val="red"/>
        </w:rPr>
      </w:pPr>
    </w:p>
    <w:p w14:paraId="7078ECE6" w14:textId="77777777" w:rsidR="00652B89" w:rsidRDefault="00652B89">
      <w:pPr>
        <w:tabs>
          <w:tab w:val="left" w:pos="2790"/>
        </w:tabs>
        <w:jc w:val="both"/>
        <w:rPr>
          <w:rFonts w:ascii="Bookman Old Style" w:eastAsia="Bookman Old Style" w:hAnsi="Bookman Old Style" w:cs="Bookman Old Style"/>
          <w:b/>
          <w:highlight w:val="red"/>
        </w:rPr>
      </w:pPr>
    </w:p>
    <w:p w14:paraId="63728964" w14:textId="4050505C" w:rsidR="0020333E" w:rsidRDefault="0055139F">
      <w:pPr>
        <w:tabs>
          <w:tab w:val="left" w:pos="2790"/>
        </w:tabs>
        <w:jc w:val="both"/>
        <w:rPr>
          <w:rFonts w:ascii="Bookman Old Style" w:eastAsia="Bookman Old Style" w:hAnsi="Bookman Old Style" w:cs="Bookman Old Style"/>
          <w:b/>
        </w:rPr>
      </w:pPr>
      <w:r w:rsidRPr="0062388A">
        <w:rPr>
          <w:rFonts w:ascii="Bookman Old Style" w:eastAsia="Bookman Old Style" w:hAnsi="Bookman Old Style" w:cs="Bookman Old Style"/>
          <w:b/>
        </w:rPr>
        <w:lastRenderedPageBreak/>
        <w:t xml:space="preserve">Nominal quarterly gross domestic product: </w:t>
      </w:r>
      <w:r w:rsidR="00BF3202">
        <w:rPr>
          <w:rFonts w:ascii="Bookman Old Style" w:eastAsia="Bookman Old Style" w:hAnsi="Bookman Old Style" w:cs="Bookman Old Style"/>
          <w:b/>
        </w:rPr>
        <w:t>October</w:t>
      </w:r>
      <w:r w:rsidRPr="0062388A">
        <w:rPr>
          <w:rFonts w:ascii="Bookman Old Style" w:eastAsia="Bookman Old Style" w:hAnsi="Bookman Old Style" w:cs="Bookman Old Style"/>
          <w:b/>
        </w:rPr>
        <w:t xml:space="preserve"> to </w:t>
      </w:r>
      <w:r w:rsidR="00BF3202">
        <w:rPr>
          <w:rFonts w:ascii="Bookman Old Style" w:eastAsia="Bookman Old Style" w:hAnsi="Bookman Old Style" w:cs="Bookman Old Style"/>
          <w:b/>
        </w:rPr>
        <w:t>December</w:t>
      </w:r>
      <w:r w:rsidRPr="0062388A">
        <w:rPr>
          <w:rFonts w:ascii="Bookman Old Style" w:eastAsia="Bookman Old Style" w:hAnsi="Bookman Old Style" w:cs="Bookman Old Style"/>
          <w:b/>
        </w:rPr>
        <w:t xml:space="preserve"> 2022</w:t>
      </w:r>
    </w:p>
    <w:p w14:paraId="3C0DAA87" w14:textId="77777777" w:rsidR="0020333E" w:rsidRDefault="0020333E">
      <w:pPr>
        <w:tabs>
          <w:tab w:val="left" w:pos="3000"/>
        </w:tabs>
        <w:jc w:val="both"/>
        <w:rPr>
          <w:rFonts w:ascii="Bookman Old Style" w:eastAsia="Bookman Old Style" w:hAnsi="Bookman Old Style" w:cs="Bookman Old Style"/>
          <w:b/>
          <w:sz w:val="22"/>
          <w:szCs w:val="22"/>
        </w:rPr>
      </w:pPr>
    </w:p>
    <w:p w14:paraId="7353D7C7" w14:textId="7CFEB7B1" w:rsidR="0020333E" w:rsidRDefault="0055139F">
      <w:pPr>
        <w:jc w:val="both"/>
        <w:rPr>
          <w:rFonts w:ascii="Calibri" w:hAnsi="Calibri" w:cs="Calibri"/>
          <w:b/>
          <w:bCs/>
          <w:color w:val="000000"/>
          <w:sz w:val="22"/>
          <w:szCs w:val="22"/>
        </w:rPr>
      </w:pPr>
      <w:r>
        <w:rPr>
          <w:rFonts w:ascii="Bookman Old Style" w:eastAsia="Bookman Old Style" w:hAnsi="Bookman Old Style" w:cs="Bookman Old Style"/>
        </w:rPr>
        <w:t>The GDP estimate at current prices in purchaser’s value</w:t>
      </w:r>
      <w:r>
        <w:rPr>
          <w:rFonts w:ascii="Bookman Old Style" w:eastAsia="Bookman Old Style" w:hAnsi="Bookman Old Style" w:cs="Bookman Old Style"/>
          <w:vertAlign w:val="superscript"/>
        </w:rPr>
        <w:footnoteReference w:id="1"/>
      </w:r>
      <w:r>
        <w:rPr>
          <w:rFonts w:ascii="Bookman Old Style" w:eastAsia="Bookman Old Style" w:hAnsi="Bookman Old Style" w:cs="Bookman Old Style"/>
        </w:rPr>
        <w:t xml:space="preserve"> for the </w:t>
      </w:r>
      <w:r w:rsidR="00BF3202">
        <w:rPr>
          <w:rFonts w:ascii="Bookman Old Style" w:eastAsia="Bookman Old Style" w:hAnsi="Bookman Old Style" w:cs="Bookman Old Style"/>
        </w:rPr>
        <w:t>4</w:t>
      </w:r>
      <w:r w:rsidR="00BF3202" w:rsidRPr="00BF3202">
        <w:rPr>
          <w:rFonts w:ascii="Bookman Old Style" w:eastAsia="Bookman Old Style" w:hAnsi="Bookman Old Style" w:cs="Bookman Old Style"/>
          <w:vertAlign w:val="superscript"/>
        </w:rPr>
        <w:t>th</w:t>
      </w:r>
      <w:r w:rsidR="00BF3202">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was </w:t>
      </w:r>
      <w:r>
        <w:rPr>
          <w:rFonts w:ascii="Bookman Old Style" w:eastAsia="Bookman Old Style" w:hAnsi="Bookman Old Style" w:cs="Bookman Old Style"/>
          <w:b/>
        </w:rPr>
        <w:t>GH¢</w:t>
      </w:r>
      <w:r w:rsidR="00BF3202" w:rsidRPr="00BF3202">
        <w:rPr>
          <w:rFonts w:ascii="Bookman Old Style" w:eastAsia="Bookman Old Style" w:hAnsi="Bookman Old Style" w:cs="Bookman Old Style"/>
          <w:b/>
        </w:rPr>
        <w:t>186,054.0</w:t>
      </w:r>
      <w:r w:rsidR="00BF3202">
        <w:rPr>
          <w:rFonts w:ascii="Calibri" w:hAnsi="Calibri" w:cs="Calibri"/>
          <w:b/>
          <w:bCs/>
          <w:color w:val="000000"/>
          <w:sz w:val="22"/>
          <w:szCs w:val="22"/>
        </w:rPr>
        <w:t xml:space="preserve"> </w:t>
      </w:r>
      <w:r>
        <w:rPr>
          <w:rFonts w:ascii="Bookman Old Style" w:eastAsia="Bookman Old Style" w:hAnsi="Bookman Old Style" w:cs="Bookman Old Style"/>
          <w:b/>
        </w:rPr>
        <w:t xml:space="preserve">million </w:t>
      </w:r>
      <w:r>
        <w:rPr>
          <w:rFonts w:ascii="Bookman Old Style" w:eastAsia="Bookman Old Style" w:hAnsi="Bookman Old Style" w:cs="Bookman Old Style"/>
        </w:rPr>
        <w:t xml:space="preserve">compared to </w:t>
      </w:r>
      <w:r>
        <w:rPr>
          <w:rFonts w:ascii="Bookman Old Style" w:eastAsia="Bookman Old Style" w:hAnsi="Bookman Old Style" w:cs="Bookman Old Style"/>
          <w:b/>
        </w:rPr>
        <w:t>GH¢</w:t>
      </w:r>
      <w:r w:rsidR="00377FE9" w:rsidRPr="00377FE9">
        <w:rPr>
          <w:rFonts w:ascii="Bookman Old Style" w:eastAsia="Bookman Old Style" w:hAnsi="Bookman Old Style" w:cs="Bookman Old Style"/>
          <w:b/>
        </w:rPr>
        <w:t>130,139.0</w:t>
      </w:r>
      <w:r w:rsidR="00377FE9">
        <w:rPr>
          <w:rFonts w:ascii="Calibri" w:hAnsi="Calibri" w:cs="Calibri"/>
          <w:b/>
          <w:bCs/>
          <w:color w:val="000000"/>
          <w:sz w:val="22"/>
          <w:szCs w:val="22"/>
        </w:rPr>
        <w:t xml:space="preserve"> </w:t>
      </w:r>
      <w:r>
        <w:rPr>
          <w:rFonts w:ascii="Bookman Old Style" w:eastAsia="Bookman Old Style" w:hAnsi="Bookman Old Style" w:cs="Bookman Old Style"/>
          <w:b/>
        </w:rPr>
        <w:t>million</w:t>
      </w:r>
      <w:r>
        <w:rPr>
          <w:rFonts w:ascii="Bookman Old Style" w:eastAsia="Bookman Old Style" w:hAnsi="Bookman Old Style" w:cs="Bookman Old Style"/>
        </w:rPr>
        <w:t xml:space="preserve"> in the </w:t>
      </w:r>
      <w:r w:rsidR="00377FE9">
        <w:rPr>
          <w:rFonts w:ascii="Bookman Old Style" w:eastAsia="Bookman Old Style" w:hAnsi="Bookman Old Style" w:cs="Bookman Old Style"/>
        </w:rPr>
        <w:t>4</w:t>
      </w:r>
      <w:r w:rsidR="00377FE9" w:rsidRPr="00377FE9">
        <w:rPr>
          <w:rFonts w:ascii="Bookman Old Style" w:eastAsia="Bookman Old Style" w:hAnsi="Bookman Old Style" w:cs="Bookman Old Style"/>
          <w:vertAlign w:val="superscript"/>
        </w:rPr>
        <w:t>th</w:t>
      </w:r>
      <w:r w:rsidR="00377FE9">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2021. </w:t>
      </w:r>
    </w:p>
    <w:p w14:paraId="7289EC38" w14:textId="77777777" w:rsidR="0020333E" w:rsidRDefault="0020333E">
      <w:pPr>
        <w:jc w:val="both"/>
        <w:rPr>
          <w:rFonts w:ascii="Bookman Old Style" w:eastAsia="Bookman Old Style" w:hAnsi="Bookman Old Style" w:cs="Bookman Old Style"/>
        </w:rPr>
      </w:pPr>
    </w:p>
    <w:p w14:paraId="30381529" w14:textId="7F4B94B4" w:rsidR="0020333E" w:rsidRDefault="0055139F">
      <w:pPr>
        <w:jc w:val="both"/>
        <w:rPr>
          <w:rFonts w:ascii="Calibri" w:hAnsi="Calibri" w:cs="Calibri"/>
          <w:b/>
          <w:bCs/>
          <w:color w:val="000000"/>
          <w:sz w:val="22"/>
          <w:szCs w:val="22"/>
        </w:rPr>
      </w:pPr>
      <w:r>
        <w:rPr>
          <w:rFonts w:ascii="Bookman Old Style" w:eastAsia="Bookman Old Style" w:hAnsi="Bookman Old Style" w:cs="Bookman Old Style"/>
        </w:rPr>
        <w:t xml:space="preserve">The </w:t>
      </w:r>
      <w:r>
        <w:rPr>
          <w:rFonts w:ascii="Bookman Old Style" w:eastAsia="Bookman Old Style" w:hAnsi="Bookman Old Style" w:cs="Bookman Old Style"/>
          <w:b/>
        </w:rPr>
        <w:t>Non-oil GDP</w:t>
      </w:r>
      <w:r>
        <w:rPr>
          <w:rFonts w:ascii="Bookman Old Style" w:eastAsia="Bookman Old Style" w:hAnsi="Bookman Old Style" w:cs="Bookman Old Style"/>
        </w:rPr>
        <w:t xml:space="preserve"> (GDP without Oil and Gas) estimate at current prices for the </w:t>
      </w:r>
      <w:r w:rsidR="00377FE9">
        <w:rPr>
          <w:rFonts w:ascii="Bookman Old Style" w:eastAsia="Bookman Old Style" w:hAnsi="Bookman Old Style" w:cs="Bookman Old Style"/>
        </w:rPr>
        <w:t>4</w:t>
      </w:r>
      <w:r w:rsidR="00377FE9" w:rsidRPr="00377FE9">
        <w:rPr>
          <w:rFonts w:ascii="Bookman Old Style" w:eastAsia="Bookman Old Style" w:hAnsi="Bookman Old Style" w:cs="Bookman Old Style"/>
          <w:vertAlign w:val="superscript"/>
        </w:rPr>
        <w:t>th</w:t>
      </w:r>
      <w:r w:rsidR="00377FE9">
        <w:rPr>
          <w:rFonts w:ascii="Bookman Old Style" w:eastAsia="Bookman Old Style" w:hAnsi="Bookman Old Style" w:cs="Bookman Old Style"/>
        </w:rPr>
        <w:t xml:space="preserve"> </w:t>
      </w:r>
      <w:r>
        <w:rPr>
          <w:rFonts w:ascii="Bookman Old Style" w:eastAsia="Bookman Old Style" w:hAnsi="Bookman Old Style" w:cs="Bookman Old Style"/>
        </w:rPr>
        <w:t>quarter of 2022 was</w:t>
      </w:r>
      <w:r>
        <w:rPr>
          <w:rFonts w:ascii="Bookman Old Style" w:hAnsi="Bookman Old Style"/>
          <w:b/>
          <w:bCs/>
          <w:color w:val="000000"/>
          <w:sz w:val="22"/>
          <w:szCs w:val="22"/>
        </w:rPr>
        <w:t xml:space="preserve"> </w:t>
      </w:r>
      <w:r>
        <w:rPr>
          <w:rFonts w:ascii="Bookman Old Style" w:eastAsia="Bookman Old Style" w:hAnsi="Bookman Old Style" w:cs="Bookman Old Style"/>
          <w:b/>
        </w:rPr>
        <w:t>GH¢1</w:t>
      </w:r>
      <w:r w:rsidR="00377FE9">
        <w:rPr>
          <w:rFonts w:ascii="Bookman Old Style" w:eastAsia="Bookman Old Style" w:hAnsi="Bookman Old Style" w:cs="Bookman Old Style"/>
          <w:b/>
        </w:rPr>
        <w:t>80,099.2</w:t>
      </w:r>
      <w:r>
        <w:rPr>
          <w:rFonts w:ascii="Calibri" w:hAnsi="Calibri" w:cs="Calibri"/>
          <w:b/>
          <w:bCs/>
          <w:color w:val="000000"/>
          <w:sz w:val="22"/>
          <w:szCs w:val="22"/>
        </w:rPr>
        <w:t xml:space="preserve"> </w:t>
      </w:r>
      <w:r>
        <w:rPr>
          <w:rFonts w:ascii="Bookman Old Style" w:eastAsia="Bookman Old Style" w:hAnsi="Bookman Old Style" w:cs="Bookman Old Style"/>
          <w:b/>
        </w:rPr>
        <w:t xml:space="preserve">million </w:t>
      </w:r>
      <w:r>
        <w:rPr>
          <w:rFonts w:ascii="Bookman Old Style" w:eastAsia="Bookman Old Style" w:hAnsi="Bookman Old Style" w:cs="Bookman Old Style"/>
        </w:rPr>
        <w:t>compared to</w:t>
      </w:r>
      <w:r>
        <w:rPr>
          <w:rFonts w:ascii="Bookman Old Style" w:eastAsia="Bookman Old Style" w:hAnsi="Bookman Old Style" w:cs="Bookman Old Style"/>
          <w:b/>
        </w:rPr>
        <w:t xml:space="preserve"> GH¢1</w:t>
      </w:r>
      <w:r w:rsidR="00377FE9">
        <w:rPr>
          <w:rFonts w:ascii="Bookman Old Style" w:eastAsia="Bookman Old Style" w:hAnsi="Bookman Old Style" w:cs="Bookman Old Style"/>
          <w:b/>
        </w:rPr>
        <w:t>24,184.2</w:t>
      </w:r>
      <w:r>
        <w:rPr>
          <w:rFonts w:ascii="Bookman Old Style" w:eastAsia="Bookman Old Style" w:hAnsi="Bookman Old Style" w:cs="Bookman Old Style"/>
          <w:b/>
        </w:rPr>
        <w:t xml:space="preserve"> million </w:t>
      </w:r>
      <w:r>
        <w:rPr>
          <w:rFonts w:ascii="Bookman Old Style" w:eastAsia="Bookman Old Style" w:hAnsi="Bookman Old Style" w:cs="Bookman Old Style"/>
        </w:rPr>
        <w:t xml:space="preserve">in the </w:t>
      </w:r>
      <w:r w:rsidR="00377FE9">
        <w:rPr>
          <w:rFonts w:ascii="Bookman Old Style" w:eastAsia="Bookman Old Style" w:hAnsi="Bookman Old Style" w:cs="Bookman Old Style"/>
        </w:rPr>
        <w:t>4</w:t>
      </w:r>
      <w:r w:rsidR="00377FE9" w:rsidRPr="00377FE9">
        <w:rPr>
          <w:rFonts w:ascii="Bookman Old Style" w:eastAsia="Bookman Old Style" w:hAnsi="Bookman Old Style" w:cs="Bookman Old Style"/>
          <w:vertAlign w:val="superscript"/>
        </w:rPr>
        <w:t>th</w:t>
      </w:r>
      <w:r w:rsidR="00377FE9">
        <w:rPr>
          <w:rFonts w:ascii="Bookman Old Style" w:eastAsia="Bookman Old Style" w:hAnsi="Bookman Old Style" w:cs="Bookman Old Style"/>
        </w:rPr>
        <w:t xml:space="preserve"> </w:t>
      </w:r>
      <w:r>
        <w:rPr>
          <w:rFonts w:ascii="Bookman Old Style" w:eastAsia="Bookman Old Style" w:hAnsi="Bookman Old Style" w:cs="Bookman Old Style"/>
        </w:rPr>
        <w:t>quarter of 2021.</w:t>
      </w:r>
      <w:r>
        <w:rPr>
          <w:rFonts w:ascii="Bookman Old Style" w:eastAsia="Bookman Old Style" w:hAnsi="Bookman Old Style" w:cs="Bookman Old Style"/>
          <w:b/>
        </w:rPr>
        <w:t xml:space="preserve"> </w:t>
      </w:r>
    </w:p>
    <w:p w14:paraId="72908043" w14:textId="77777777" w:rsidR="0020333E" w:rsidRDefault="0020333E">
      <w:pPr>
        <w:jc w:val="both"/>
        <w:rPr>
          <w:rFonts w:ascii="Bookman Old Style" w:hAnsi="Bookman Old Style" w:cs="Calibri"/>
          <w:b/>
          <w:bCs/>
          <w:color w:val="000000"/>
          <w:sz w:val="22"/>
          <w:szCs w:val="22"/>
        </w:rPr>
      </w:pPr>
    </w:p>
    <w:p w14:paraId="2C957749" w14:textId="77777777" w:rsidR="0020333E" w:rsidRDefault="0020333E">
      <w:pPr>
        <w:jc w:val="both"/>
        <w:rPr>
          <w:rFonts w:ascii="Bookman Old Style" w:hAnsi="Bookman Old Style" w:cs="Calibri"/>
          <w:b/>
          <w:bCs/>
          <w:color w:val="000000"/>
          <w:sz w:val="22"/>
          <w:szCs w:val="22"/>
        </w:rPr>
      </w:pPr>
    </w:p>
    <w:p w14:paraId="7D0E098D" w14:textId="77777777" w:rsidR="0020333E" w:rsidRDefault="0055139F">
      <w:pPr>
        <w:jc w:val="both"/>
        <w:rPr>
          <w:rFonts w:ascii="Bookman Old Style" w:eastAsia="Bookman Old Style" w:hAnsi="Bookman Old Style" w:cs="Bookman Old Style"/>
          <w:b/>
        </w:rPr>
      </w:pPr>
      <w:r>
        <w:rPr>
          <w:rFonts w:ascii="Bookman Old Style" w:eastAsia="Bookman Old Style" w:hAnsi="Bookman Old Style" w:cs="Bookman Old Style"/>
          <w:b/>
        </w:rPr>
        <w:t>GDP sectoral shares</w:t>
      </w:r>
    </w:p>
    <w:p w14:paraId="1E9164DB" w14:textId="77777777" w:rsidR="0020333E" w:rsidRDefault="0020333E">
      <w:pPr>
        <w:jc w:val="both"/>
        <w:rPr>
          <w:rFonts w:ascii="Bookman Old Style" w:eastAsia="Bookman Old Style" w:hAnsi="Bookman Old Style" w:cs="Bookman Old Style"/>
          <w:b/>
        </w:rPr>
      </w:pPr>
    </w:p>
    <w:p w14:paraId="4AD6D823" w14:textId="49568051" w:rsidR="0020333E" w:rsidRDefault="0055139F">
      <w:p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The Services sector continue to be the largest sector of the Ghanaian economy in the </w:t>
      </w:r>
      <w:r w:rsidR="0061701C">
        <w:rPr>
          <w:rFonts w:ascii="Bookman Old Style" w:eastAsia="Bookman Old Style" w:hAnsi="Bookman Old Style" w:cs="Bookman Old Style"/>
        </w:rPr>
        <w:t>fourth</w:t>
      </w:r>
      <w:r>
        <w:rPr>
          <w:rFonts w:ascii="Bookman Old Style" w:eastAsia="Bookman Old Style" w:hAnsi="Bookman Old Style" w:cs="Bookman Old Style"/>
        </w:rPr>
        <w:t xml:space="preserve"> quarter of 2022 with a share of 4</w:t>
      </w:r>
      <w:r w:rsidR="003742ED">
        <w:rPr>
          <w:rFonts w:ascii="Bookman Old Style" w:eastAsia="Bookman Old Style" w:hAnsi="Bookman Old Style" w:cs="Bookman Old Style"/>
        </w:rPr>
        <w:t>5.3</w:t>
      </w:r>
      <w:r>
        <w:rPr>
          <w:rFonts w:ascii="Bookman Old Style" w:eastAsia="Bookman Old Style" w:hAnsi="Bookman Old Style" w:cs="Bookman Old Style"/>
        </w:rPr>
        <w:t xml:space="preserve"> percent of GDP at basic prices. The GDP share of Industry and Agriculture were 3</w:t>
      </w:r>
      <w:r w:rsidR="009E73BD">
        <w:rPr>
          <w:rFonts w:ascii="Bookman Old Style" w:eastAsia="Bookman Old Style" w:hAnsi="Bookman Old Style" w:cs="Bookman Old Style"/>
        </w:rPr>
        <w:t>6</w:t>
      </w:r>
      <w:r>
        <w:rPr>
          <w:rFonts w:ascii="Bookman Old Style" w:eastAsia="Bookman Old Style" w:hAnsi="Bookman Old Style" w:cs="Bookman Old Style"/>
        </w:rPr>
        <w:t xml:space="preserve"> percent and </w:t>
      </w:r>
      <w:r w:rsidR="009E73BD">
        <w:rPr>
          <w:rFonts w:ascii="Bookman Old Style" w:eastAsia="Bookman Old Style" w:hAnsi="Bookman Old Style" w:cs="Bookman Old Style"/>
        </w:rPr>
        <w:t>18.7</w:t>
      </w:r>
      <w:r>
        <w:rPr>
          <w:rFonts w:ascii="Bookman Old Style" w:eastAsia="Bookman Old Style" w:hAnsi="Bookman Old Style" w:cs="Bookman Old Style"/>
        </w:rPr>
        <w:t xml:space="preserve"> percent respectively.</w:t>
      </w:r>
    </w:p>
    <w:p w14:paraId="2F2E817F" w14:textId="77777777" w:rsidR="0020333E" w:rsidRDefault="0020333E">
      <w:pPr>
        <w:jc w:val="both"/>
        <w:rPr>
          <w:rFonts w:ascii="Bookman Old Style" w:eastAsia="Bookman Old Style" w:hAnsi="Bookman Old Style" w:cs="Bookman Old Style"/>
        </w:rPr>
      </w:pPr>
    </w:p>
    <w:p w14:paraId="262AA341" w14:textId="39DC8B56" w:rsidR="0020333E" w:rsidRDefault="0055139F">
      <w:pPr>
        <w:spacing w:line="360" w:lineRule="auto"/>
        <w:jc w:val="both"/>
        <w:rPr>
          <w:rFonts w:ascii="Bookman Old Style" w:eastAsia="Bookman Old Style" w:hAnsi="Bookman Old Style" w:cs="Bookman Old Style"/>
          <w:b/>
        </w:rPr>
      </w:pPr>
      <w:r>
        <w:rPr>
          <w:rFonts w:ascii="Bookman Old Style" w:eastAsia="Bookman Old Style" w:hAnsi="Bookman Old Style" w:cs="Bookman Old Style"/>
          <w:b/>
        </w:rPr>
        <w:t>Figure 2: Sectoral distribution (%) of nominal GDP at basic prices</w:t>
      </w:r>
    </w:p>
    <w:p w14:paraId="4CC5BE58" w14:textId="5CDA3D94" w:rsidR="0020333E" w:rsidRDefault="0059433C">
      <w:pPr>
        <w:spacing w:line="360" w:lineRule="auto"/>
        <w:jc w:val="both"/>
        <w:rPr>
          <w:rFonts w:ascii="Bookman Old Style" w:eastAsia="Bookman Old Style" w:hAnsi="Bookman Old Style" w:cs="Bookman Old Style"/>
          <w:b/>
        </w:rPr>
      </w:pPr>
      <w:r w:rsidRPr="0059433C">
        <w:rPr>
          <w:rFonts w:ascii="Bookman Old Style" w:eastAsia="Bookman Old Style" w:hAnsi="Bookman Old Style" w:cs="Bookman Old Style"/>
          <w:b/>
          <w:noProof/>
        </w:rPr>
        <mc:AlternateContent>
          <mc:Choice Requires="wps">
            <w:drawing>
              <wp:anchor distT="0" distB="0" distL="114300" distR="114300" simplePos="0" relativeHeight="251665408" behindDoc="0" locked="0" layoutInCell="1" allowOverlap="1" wp14:anchorId="37493D01" wp14:editId="6F614E1F">
                <wp:simplePos x="0" y="0"/>
                <wp:positionH relativeFrom="margin">
                  <wp:posOffset>50800</wp:posOffset>
                </wp:positionH>
                <wp:positionV relativeFrom="paragraph">
                  <wp:posOffset>3810</wp:posOffset>
                </wp:positionV>
                <wp:extent cx="1803400" cy="495300"/>
                <wp:effectExtent l="0" t="0" r="25400" b="19050"/>
                <wp:wrapNone/>
                <wp:docPr id="10" name="Rectangle: Rounded Corners 9">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4178E08E-6A4B-4450-A8BD-245D4657CD5E}"/>
                    </a:ext>
                  </a:extLst>
                </wp:docPr>
                <wp:cNvGraphicFramePr/>
                <a:graphic xmlns:a="http://schemas.openxmlformats.org/drawingml/2006/main">
                  <a:graphicData uri="http://schemas.microsoft.com/office/word/2010/wordprocessingShape">
                    <wps:wsp>
                      <wps:cNvSpPr/>
                      <wps:spPr>
                        <a:xfrm>
                          <a:off x="0" y="0"/>
                          <a:ext cx="1803400" cy="49530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23D2EB4" w14:textId="77777777" w:rsidR="0059433C" w:rsidRPr="0059433C" w:rsidRDefault="0059433C" w:rsidP="0059433C">
                            <w:pPr>
                              <w:jc w:val="center"/>
                              <w:rPr>
                                <w:rFonts w:asciiTheme="minorHAnsi" w:hAnsi="Cambria" w:cstheme="minorBidi"/>
                                <w:b/>
                                <w:bCs/>
                                <w:color w:val="000000" w:themeColor="text1"/>
                                <w:kern w:val="24"/>
                              </w:rPr>
                            </w:pPr>
                            <w:r w:rsidRPr="0059433C">
                              <w:rPr>
                                <w:rFonts w:asciiTheme="minorHAnsi" w:hAnsi="Cambria" w:cstheme="minorBidi"/>
                                <w:b/>
                                <w:bCs/>
                                <w:color w:val="000000" w:themeColor="text1"/>
                                <w:kern w:val="24"/>
                              </w:rPr>
                              <w:t>GDP at basic prices is GH</w:t>
                            </w:r>
                            <w:r w:rsidRPr="0059433C">
                              <w:rPr>
                                <w:rFonts w:ascii="Calibri" w:hAnsi="Calibri" w:cs="Calibri"/>
                                <w:b/>
                                <w:bCs/>
                                <w:color w:val="000000" w:themeColor="text1"/>
                                <w:kern w:val="24"/>
                              </w:rPr>
                              <w:t>₵</w:t>
                            </w:r>
                            <w:r w:rsidRPr="0059433C">
                              <w:rPr>
                                <w:rFonts w:asciiTheme="minorHAnsi" w:hAnsi="Cambria" w:cstheme="minorBidi"/>
                                <w:b/>
                                <w:bCs/>
                                <w:color w:val="000000" w:themeColor="text1"/>
                                <w:kern w:val="24"/>
                              </w:rPr>
                              <w:t>173,993.7 million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37493D01" id="Rectangle: Rounded Corners 9" o:spid="_x0000_s1028" style="position:absolute;left:0;text-align:left;margin-left:4pt;margin-top:.3pt;width:142pt;height:39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" fillcolor="#4f81bd [3204]" strokecolor="#243f60 [1604]" strokeweight="2pt">
                <v:textbox>
                  <w:txbxContent>
                    <w:p w14:paraId="123D2EB4" w14:textId="77777777" w:rsidR="0059433C" w:rsidRPr="0059433C" w:rsidRDefault="0059433C" w:rsidP="0059433C">
                      <w:pPr>
                        <w:jc w:val="center"/>
                        <w:rPr>
                          <w:rFonts w:asciiTheme="minorHAnsi" w:hAnsi="Cambria" w:cstheme="minorBidi"/>
                          <w:b/>
                          <w:bCs/>
                          <w:color w:val="000000" w:themeColor="text1"/>
                          <w:kern w:val="24"/>
                        </w:rPr>
                      </w:pPr>
                      <w:r w:rsidRPr="0059433C">
                        <w:rPr>
                          <w:rFonts w:asciiTheme="minorHAnsi" w:hAnsi="Cambria" w:cstheme="minorBidi"/>
                          <w:b/>
                          <w:bCs/>
                          <w:color w:val="000000" w:themeColor="text1"/>
                          <w:kern w:val="24"/>
                        </w:rPr>
                        <w:t>GDP at basic prices is GH</w:t>
                      </w:r>
                      <w:r w:rsidRPr="0059433C">
                        <w:rPr>
                          <w:rFonts w:ascii="Calibri" w:hAnsi="Calibri" w:cs="Calibri"/>
                          <w:b/>
                          <w:bCs/>
                          <w:color w:val="000000" w:themeColor="text1"/>
                          <w:kern w:val="24"/>
                        </w:rPr>
                        <w:t>₵</w:t>
                      </w:r>
                      <w:r w:rsidRPr="0059433C">
                        <w:rPr>
                          <w:rFonts w:asciiTheme="minorHAnsi" w:hAnsi="Cambria" w:cstheme="minorBidi"/>
                          <w:b/>
                          <w:bCs/>
                          <w:color w:val="000000" w:themeColor="text1"/>
                          <w:kern w:val="24"/>
                        </w:rPr>
                        <w:t>173,993.7 million</w:t>
                      </w:r>
                    </w:p>
                  </w:txbxContent>
                </v:textbox>
                <w10:wrap anchorx="margin"/>
              </v:roundrect>
            </w:pict>
          </mc:Fallback>
        </mc:AlternateContent>
      </w:r>
      <w:r w:rsidRPr="0059433C">
        <w:rPr>
          <w:rFonts w:ascii="Bookman Old Style" w:eastAsia="Bookman Old Style" w:hAnsi="Bookman Old Style" w:cs="Bookman Old Style"/>
          <w:b/>
          <w:noProof/>
        </w:rPr>
        <w:drawing>
          <wp:inline distT="0" distB="0" distL="0" distR="0" wp14:anchorId="6FCF73C7" wp14:editId="77F19314">
            <wp:extent cx="5956300" cy="2806700"/>
            <wp:effectExtent l="0" t="0" r="6350" b="12700"/>
            <wp:docPr id="1616390076"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1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sidRPr="0059433C">
        <w:rPr>
          <w:noProof/>
        </w:rPr>
        <w:t xml:space="preserve"> </w:t>
      </w:r>
    </w:p>
    <w:p w14:paraId="5924059E" w14:textId="7E81C60C" w:rsidR="0020333E" w:rsidRDefault="0020333E">
      <w:pPr>
        <w:spacing w:line="360" w:lineRule="auto"/>
        <w:jc w:val="both"/>
        <w:rPr>
          <w:rFonts w:ascii="Bookman Old Style" w:eastAsia="Bookman Old Style" w:hAnsi="Bookman Old Style" w:cs="Bookman Old Style"/>
          <w:b/>
        </w:rPr>
      </w:pPr>
    </w:p>
    <w:p w14:paraId="36B9105E" w14:textId="77777777" w:rsidR="0020333E" w:rsidRDefault="0055139F">
      <w:pPr>
        <w:jc w:val="both"/>
        <w:rPr>
          <w:rFonts w:ascii="Bookman Old Style" w:eastAsia="Bookman Old Style" w:hAnsi="Bookman Old Style" w:cs="Bookman Old Style"/>
          <w:b/>
        </w:rPr>
      </w:pPr>
      <w:r>
        <w:rPr>
          <w:rFonts w:ascii="Bookman Old Style" w:eastAsia="Bookman Old Style" w:hAnsi="Bookman Old Style" w:cs="Bookman Old Style"/>
          <w:b/>
        </w:rPr>
        <w:t>Seasonally Adjusted GDP</w:t>
      </w:r>
      <w:r>
        <w:rPr>
          <w:rFonts w:ascii="Bookman Old Style" w:eastAsia="Bookman Old Style" w:hAnsi="Bookman Old Style" w:cs="Bookman Old Style"/>
        </w:rPr>
        <w:t xml:space="preserve"> </w:t>
      </w:r>
    </w:p>
    <w:p w14:paraId="74B5AE74" w14:textId="77777777" w:rsidR="0020333E" w:rsidRDefault="0020333E">
      <w:pPr>
        <w:jc w:val="both"/>
        <w:rPr>
          <w:rFonts w:ascii="Bookman Old Style" w:eastAsia="Bookman Old Style" w:hAnsi="Bookman Old Style" w:cs="Bookman Old Style"/>
          <w:b/>
        </w:rPr>
      </w:pPr>
    </w:p>
    <w:p w14:paraId="78F27CD7" w14:textId="06091666" w:rsidR="0020333E" w:rsidRDefault="0055139F">
      <w:pPr>
        <w:spacing w:line="276" w:lineRule="auto"/>
        <w:jc w:val="both"/>
        <w:rPr>
          <w:rFonts w:ascii="Bookman Old Style" w:eastAsia="Bookman Old Style" w:hAnsi="Bookman Old Style" w:cs="Bookman Old Style"/>
          <w:b/>
        </w:rPr>
      </w:pPr>
      <w:r>
        <w:rPr>
          <w:rFonts w:ascii="Bookman Old Style" w:eastAsia="Bookman Old Style" w:hAnsi="Bookman Old Style" w:cs="Bookman Old Style"/>
          <w:b/>
        </w:rPr>
        <w:t>The Provisional quarter-on-quarter</w:t>
      </w:r>
      <w:r>
        <w:rPr>
          <w:rFonts w:ascii="Bookman Old Style" w:eastAsia="Bookman Old Style" w:hAnsi="Bookman Old Style" w:cs="Bookman Old Style"/>
          <w:b/>
          <w:vertAlign w:val="superscript"/>
        </w:rPr>
        <w:footnoteReference w:id="2"/>
      </w:r>
      <w:r>
        <w:rPr>
          <w:rFonts w:ascii="Bookman Old Style" w:eastAsia="Bookman Old Style" w:hAnsi="Bookman Old Style" w:cs="Bookman Old Style"/>
          <w:b/>
        </w:rPr>
        <w:t xml:space="preserve"> seasonally adjusted Real Gross Domestic Product (including Oil) growth rate for the </w:t>
      </w:r>
      <w:r w:rsidR="004840C8">
        <w:rPr>
          <w:rFonts w:ascii="Bookman Old Style" w:eastAsia="Bookman Old Style" w:hAnsi="Bookman Old Style" w:cs="Bookman Old Style"/>
          <w:b/>
        </w:rPr>
        <w:t>4</w:t>
      </w:r>
      <w:r w:rsidR="004840C8" w:rsidRPr="004840C8">
        <w:rPr>
          <w:rFonts w:ascii="Bookman Old Style" w:eastAsia="Bookman Old Style" w:hAnsi="Bookman Old Style" w:cs="Bookman Old Style"/>
          <w:b/>
          <w:vertAlign w:val="superscript"/>
        </w:rPr>
        <w:t>th</w:t>
      </w:r>
      <w:r w:rsidR="004840C8">
        <w:rPr>
          <w:rFonts w:ascii="Bookman Old Style" w:eastAsia="Bookman Old Style" w:hAnsi="Bookman Old Style" w:cs="Bookman Old Style"/>
          <w:b/>
        </w:rPr>
        <w:t xml:space="preserve"> </w:t>
      </w:r>
      <w:r>
        <w:rPr>
          <w:rFonts w:ascii="Bookman Old Style" w:eastAsia="Bookman Old Style" w:hAnsi="Bookman Old Style" w:cs="Bookman Old Style"/>
          <w:b/>
        </w:rPr>
        <w:t>quarter of 2022 was 0.</w:t>
      </w:r>
      <w:r w:rsidR="0061200E">
        <w:rPr>
          <w:rFonts w:ascii="Bookman Old Style" w:eastAsia="Bookman Old Style" w:hAnsi="Bookman Old Style" w:cs="Bookman Old Style"/>
          <w:b/>
        </w:rPr>
        <w:t>8</w:t>
      </w:r>
      <w:r>
        <w:rPr>
          <w:rFonts w:ascii="Bookman Old Style" w:eastAsia="Bookman Old Style" w:hAnsi="Bookman Old Style" w:cs="Bookman Old Style"/>
          <w:b/>
        </w:rPr>
        <w:t xml:space="preserve"> percent. </w:t>
      </w:r>
    </w:p>
    <w:p w14:paraId="09AC491B" w14:textId="77777777" w:rsidR="0020333E" w:rsidRDefault="0020333E">
      <w:pPr>
        <w:jc w:val="both"/>
        <w:rPr>
          <w:rFonts w:ascii="Bookman Old Style" w:eastAsia="Bookman Old Style" w:hAnsi="Bookman Old Style" w:cs="Bookman Old Style"/>
        </w:rPr>
      </w:pPr>
    </w:p>
    <w:p w14:paraId="317D542C" w14:textId="0C8C231D" w:rsidR="0020333E" w:rsidRDefault="0055139F">
      <w:p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For the </w:t>
      </w:r>
      <w:r w:rsidR="0031183C">
        <w:rPr>
          <w:rFonts w:ascii="Bookman Old Style" w:eastAsia="Bookman Old Style" w:hAnsi="Bookman Old Style" w:cs="Bookman Old Style"/>
        </w:rPr>
        <w:t>4</w:t>
      </w:r>
      <w:r w:rsidR="0031183C" w:rsidRPr="0031183C">
        <w:rPr>
          <w:rFonts w:ascii="Bookman Old Style" w:eastAsia="Bookman Old Style" w:hAnsi="Bookman Old Style" w:cs="Bookman Old Style"/>
          <w:vertAlign w:val="superscript"/>
        </w:rPr>
        <w:t>th</w:t>
      </w:r>
      <w:r w:rsidR="0031183C">
        <w:rPr>
          <w:rFonts w:ascii="Bookman Old Style" w:eastAsia="Bookman Old Style" w:hAnsi="Bookman Old Style" w:cs="Bookman Old Style"/>
        </w:rPr>
        <w:t xml:space="preserve"> </w:t>
      </w:r>
      <w:r>
        <w:rPr>
          <w:rFonts w:ascii="Bookman Old Style" w:eastAsia="Bookman Old Style" w:hAnsi="Bookman Old Style" w:cs="Bookman Old Style"/>
        </w:rPr>
        <w:t>quarter of 2022, the quarter-on-quarter seasonally adjusted growth rates (see Table 2) were as follows:</w:t>
      </w:r>
    </w:p>
    <w:p w14:paraId="3012DAC7" w14:textId="77777777" w:rsidR="0020333E" w:rsidRDefault="0020333E">
      <w:pPr>
        <w:jc w:val="both"/>
        <w:rPr>
          <w:rFonts w:ascii="Bookman Old Style" w:eastAsia="Bookman Old Style" w:hAnsi="Bookman Old Style" w:cs="Bookman Old Style"/>
        </w:rPr>
      </w:pPr>
    </w:p>
    <w:p w14:paraId="5E5FC002" w14:textId="6967EE3B" w:rsidR="0020333E" w:rsidRDefault="0055139F">
      <w:pPr>
        <w:pStyle w:val="ListParagraph"/>
        <w:numPr>
          <w:ilvl w:val="0"/>
          <w:numId w:val="5"/>
        </w:numPr>
        <w:spacing w:after="200" w:line="276" w:lineRule="auto"/>
        <w:ind w:left="360" w:firstLineChars="50" w:firstLine="120"/>
        <w:jc w:val="both"/>
        <w:rPr>
          <w:highlight w:val="yellow"/>
        </w:rPr>
      </w:pPr>
      <w:r>
        <w:rPr>
          <w:rFonts w:ascii="Bookman Old Style" w:eastAsia="Bookman Old Style" w:hAnsi="Bookman Old Style" w:cs="Bookman Old Style"/>
        </w:rPr>
        <w:t xml:space="preserve">The Agriculture sector expanded by 1.0 percent in </w:t>
      </w:r>
      <w:r w:rsidR="00314CCD">
        <w:rPr>
          <w:rFonts w:ascii="Bookman Old Style" w:eastAsia="Bookman Old Style" w:hAnsi="Bookman Old Style" w:cs="Bookman Old Style"/>
        </w:rPr>
        <w:t>4</w:t>
      </w:r>
      <w:r w:rsidR="00314CCD" w:rsidRPr="00314CCD">
        <w:rPr>
          <w:rFonts w:ascii="Bookman Old Style" w:eastAsia="Bookman Old Style" w:hAnsi="Bookman Old Style" w:cs="Bookman Old Style"/>
          <w:vertAlign w:val="superscript"/>
        </w:rPr>
        <w:t>th</w:t>
      </w:r>
      <w:r w:rsidR="00314CCD">
        <w:rPr>
          <w:rFonts w:ascii="Bookman Old Style" w:eastAsia="Bookman Old Style" w:hAnsi="Bookman Old Style" w:cs="Bookman Old Style"/>
        </w:rPr>
        <w:t xml:space="preserve"> </w:t>
      </w:r>
      <w:r>
        <w:rPr>
          <w:rFonts w:ascii="Bookman Old Style" w:eastAsia="Bookman Old Style" w:hAnsi="Bookman Old Style" w:cs="Bookman Old Style"/>
        </w:rPr>
        <w:t>quarter</w:t>
      </w:r>
      <w:r w:rsidR="00314CCD">
        <w:rPr>
          <w:rFonts w:ascii="Bookman Old Style" w:eastAsia="Bookman Old Style" w:hAnsi="Bookman Old Style" w:cs="Bookman Old Style"/>
        </w:rPr>
        <w:t xml:space="preserve"> of</w:t>
      </w:r>
      <w:r>
        <w:rPr>
          <w:rFonts w:ascii="Bookman Old Style" w:eastAsia="Bookman Old Style" w:hAnsi="Bookman Old Style" w:cs="Bookman Old Style"/>
        </w:rPr>
        <w:t xml:space="preserve"> 2022 compared to </w:t>
      </w:r>
      <w:r w:rsidR="00314CCD">
        <w:rPr>
          <w:rFonts w:ascii="Bookman Old Style" w:eastAsia="Bookman Old Style" w:hAnsi="Bookman Old Style" w:cs="Bookman Old Style"/>
        </w:rPr>
        <w:t>1.0</w:t>
      </w:r>
      <w:r>
        <w:rPr>
          <w:rFonts w:ascii="Bookman Old Style" w:eastAsia="Bookman Old Style" w:hAnsi="Bookman Old Style" w:cs="Bookman Old Style"/>
        </w:rPr>
        <w:t xml:space="preserve"> percent in the </w:t>
      </w:r>
      <w:r w:rsidR="00314CCD">
        <w:rPr>
          <w:rFonts w:ascii="Bookman Old Style" w:eastAsia="Bookman Old Style" w:hAnsi="Bookman Old Style" w:cs="Bookman Old Style"/>
        </w:rPr>
        <w:t>3</w:t>
      </w:r>
      <w:r w:rsidR="00314CCD" w:rsidRPr="00314CCD">
        <w:rPr>
          <w:rFonts w:ascii="Bookman Old Style" w:eastAsia="Bookman Old Style" w:hAnsi="Bookman Old Style" w:cs="Bookman Old Style"/>
          <w:vertAlign w:val="superscript"/>
        </w:rPr>
        <w:t>rd</w:t>
      </w:r>
      <w:r w:rsidR="00314CCD">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The </w:t>
      </w:r>
      <w:r w:rsidR="00314CCD">
        <w:rPr>
          <w:rFonts w:ascii="Bookman Old Style" w:eastAsia="Bookman Old Style" w:hAnsi="Bookman Old Style" w:cs="Bookman Old Style"/>
        </w:rPr>
        <w:t>Livestock</w:t>
      </w:r>
      <w:r>
        <w:rPr>
          <w:rFonts w:ascii="Bookman Old Style" w:eastAsia="Bookman Old Style" w:hAnsi="Bookman Old Style" w:cs="Bookman Old Style"/>
        </w:rPr>
        <w:t xml:space="preserve"> sub-sector </w:t>
      </w:r>
      <w:r w:rsidR="006E715C">
        <w:rPr>
          <w:rFonts w:ascii="Bookman Old Style" w:eastAsia="Bookman Old Style" w:hAnsi="Bookman Old Style" w:cs="Bookman Old Style"/>
        </w:rPr>
        <w:t>increased</w:t>
      </w:r>
      <w:r>
        <w:rPr>
          <w:rFonts w:ascii="Bookman Old Style" w:eastAsia="Bookman Old Style" w:hAnsi="Bookman Old Style" w:cs="Bookman Old Style"/>
        </w:rPr>
        <w:t xml:space="preserve"> by </w:t>
      </w:r>
      <w:r w:rsidR="00314CCD">
        <w:rPr>
          <w:rFonts w:ascii="Bookman Old Style" w:eastAsia="Bookman Old Style" w:hAnsi="Bookman Old Style" w:cs="Bookman Old Style"/>
        </w:rPr>
        <w:t>0.6</w:t>
      </w:r>
      <w:r>
        <w:rPr>
          <w:rFonts w:ascii="Bookman Old Style" w:eastAsia="Bookman Old Style" w:hAnsi="Bookman Old Style" w:cs="Bookman Old Style"/>
        </w:rPr>
        <w:t xml:space="preserve"> percentage point</w:t>
      </w:r>
      <w:r w:rsidR="00314CCD">
        <w:rPr>
          <w:rFonts w:ascii="Bookman Old Style" w:eastAsia="Bookman Old Style" w:hAnsi="Bookman Old Style" w:cs="Bookman Old Style"/>
        </w:rPr>
        <w:t>s</w:t>
      </w:r>
      <w:r>
        <w:rPr>
          <w:rFonts w:ascii="Bookman Old Style" w:eastAsia="Bookman Old Style" w:hAnsi="Bookman Old Style" w:cs="Bookman Old Style"/>
        </w:rPr>
        <w:t xml:space="preserve"> from 1.</w:t>
      </w:r>
      <w:r w:rsidR="00314CCD">
        <w:rPr>
          <w:rFonts w:ascii="Bookman Old Style" w:eastAsia="Bookman Old Style" w:hAnsi="Bookman Old Style" w:cs="Bookman Old Style"/>
        </w:rPr>
        <w:t>1</w:t>
      </w:r>
      <w:r>
        <w:rPr>
          <w:rFonts w:ascii="Bookman Old Style" w:eastAsia="Bookman Old Style" w:hAnsi="Bookman Old Style" w:cs="Bookman Old Style"/>
        </w:rPr>
        <w:t xml:space="preserve"> percent in the </w:t>
      </w:r>
      <w:r w:rsidR="00314CCD">
        <w:rPr>
          <w:rFonts w:ascii="Bookman Old Style" w:eastAsia="Bookman Old Style" w:hAnsi="Bookman Old Style" w:cs="Bookman Old Style"/>
        </w:rPr>
        <w:t>3</w:t>
      </w:r>
      <w:r w:rsidR="00314CCD" w:rsidRPr="00314CCD">
        <w:rPr>
          <w:rFonts w:ascii="Bookman Old Style" w:eastAsia="Bookman Old Style" w:hAnsi="Bookman Old Style" w:cs="Bookman Old Style"/>
          <w:vertAlign w:val="superscript"/>
        </w:rPr>
        <w:t>rd</w:t>
      </w:r>
      <w:r w:rsidR="00314CCD">
        <w:rPr>
          <w:rFonts w:ascii="Bookman Old Style" w:eastAsia="Bookman Old Style" w:hAnsi="Bookman Old Style" w:cs="Bookman Old Style"/>
        </w:rPr>
        <w:t xml:space="preserve"> q</w:t>
      </w:r>
      <w:r>
        <w:rPr>
          <w:rFonts w:ascii="Bookman Old Style" w:eastAsia="Bookman Old Style" w:hAnsi="Bookman Old Style" w:cs="Bookman Old Style"/>
        </w:rPr>
        <w:t>uarter 2022 to</w:t>
      </w:r>
      <w:r w:rsidR="00314CCD">
        <w:rPr>
          <w:rFonts w:ascii="Bookman Old Style" w:eastAsia="Bookman Old Style" w:hAnsi="Bookman Old Style" w:cs="Bookman Old Style"/>
        </w:rPr>
        <w:t xml:space="preserve"> 1.7</w:t>
      </w:r>
      <w:r>
        <w:rPr>
          <w:rFonts w:ascii="Bookman Old Style" w:eastAsia="Bookman Old Style" w:hAnsi="Bookman Old Style" w:cs="Bookman Old Style"/>
        </w:rPr>
        <w:t xml:space="preserve"> percent in the </w:t>
      </w:r>
      <w:r w:rsidR="00314CCD">
        <w:rPr>
          <w:rFonts w:ascii="Bookman Old Style" w:eastAsia="Bookman Old Style" w:hAnsi="Bookman Old Style" w:cs="Bookman Old Style"/>
        </w:rPr>
        <w:t>4</w:t>
      </w:r>
      <w:r w:rsidR="00314CCD" w:rsidRPr="00314CCD">
        <w:rPr>
          <w:rFonts w:ascii="Bookman Old Style" w:eastAsia="Bookman Old Style" w:hAnsi="Bookman Old Style" w:cs="Bookman Old Style"/>
          <w:vertAlign w:val="superscript"/>
        </w:rPr>
        <w:t>th</w:t>
      </w:r>
      <w:r w:rsidR="00314CCD">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w:t>
      </w:r>
      <w:r w:rsidR="00314CCD">
        <w:rPr>
          <w:rFonts w:ascii="Bookman Old Style" w:eastAsia="Bookman Old Style" w:hAnsi="Bookman Old Style" w:cs="Bookman Old Style"/>
        </w:rPr>
        <w:t>In the fourth quarter of 2022, t</w:t>
      </w:r>
      <w:r>
        <w:rPr>
          <w:rFonts w:ascii="Bookman Old Style" w:eastAsia="Bookman Old Style" w:hAnsi="Bookman Old Style" w:cs="Bookman Old Style"/>
        </w:rPr>
        <w:t>he growth of Crops &amp; Cocoa sub-sector</w:t>
      </w:r>
      <w:r w:rsidR="00187934">
        <w:rPr>
          <w:rFonts w:ascii="Bookman Old Style" w:eastAsia="Bookman Old Style" w:hAnsi="Bookman Old Style" w:cs="Bookman Old Style"/>
        </w:rPr>
        <w:t xml:space="preserve"> </w:t>
      </w:r>
      <w:r>
        <w:rPr>
          <w:rFonts w:ascii="Bookman Old Style" w:eastAsia="Bookman Old Style" w:hAnsi="Bookman Old Style" w:cs="Bookman Old Style"/>
        </w:rPr>
        <w:t xml:space="preserve">improved marginally to </w:t>
      </w:r>
      <w:r w:rsidR="00314CCD">
        <w:rPr>
          <w:rFonts w:ascii="Bookman Old Style" w:eastAsia="Bookman Old Style" w:hAnsi="Bookman Old Style" w:cs="Bookman Old Style"/>
        </w:rPr>
        <w:t>1.0</w:t>
      </w:r>
      <w:r>
        <w:rPr>
          <w:rFonts w:ascii="Bookman Old Style" w:eastAsia="Bookman Old Style" w:hAnsi="Bookman Old Style" w:cs="Bookman Old Style"/>
        </w:rPr>
        <w:t xml:space="preserve"> percent from 0.</w:t>
      </w:r>
      <w:r w:rsidR="00314CCD">
        <w:rPr>
          <w:rFonts w:ascii="Bookman Old Style" w:eastAsia="Bookman Old Style" w:hAnsi="Bookman Old Style" w:cs="Bookman Old Style"/>
        </w:rPr>
        <w:t>9</w:t>
      </w:r>
      <w:r>
        <w:rPr>
          <w:rFonts w:ascii="Bookman Old Style" w:eastAsia="Bookman Old Style" w:hAnsi="Bookman Old Style" w:cs="Bookman Old Style"/>
        </w:rPr>
        <w:t xml:space="preserve"> percent in the </w:t>
      </w:r>
      <w:r w:rsidR="00314CCD">
        <w:rPr>
          <w:rFonts w:ascii="Bookman Old Style" w:eastAsia="Bookman Old Style" w:hAnsi="Bookman Old Style" w:cs="Bookman Old Style"/>
        </w:rPr>
        <w:t>3</w:t>
      </w:r>
      <w:r w:rsidR="00314CCD" w:rsidRPr="00314CCD">
        <w:rPr>
          <w:rFonts w:ascii="Bookman Old Style" w:eastAsia="Bookman Old Style" w:hAnsi="Bookman Old Style" w:cs="Bookman Old Style"/>
          <w:vertAlign w:val="superscript"/>
        </w:rPr>
        <w:t>rd</w:t>
      </w:r>
      <w:r w:rsidR="00314CCD">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The </w:t>
      </w:r>
      <w:r w:rsidR="00187934">
        <w:rPr>
          <w:rFonts w:ascii="Bookman Old Style" w:eastAsia="Bookman Old Style" w:hAnsi="Bookman Old Style" w:cs="Bookman Old Style"/>
        </w:rPr>
        <w:t>Fishing</w:t>
      </w:r>
      <w:r>
        <w:rPr>
          <w:rFonts w:ascii="Bookman Old Style" w:eastAsia="Bookman Old Style" w:hAnsi="Bookman Old Style" w:cs="Bookman Old Style"/>
        </w:rPr>
        <w:t xml:space="preserve"> subsector declined to </w:t>
      </w:r>
      <w:r w:rsidR="00187934">
        <w:rPr>
          <w:rFonts w:ascii="Bookman Old Style" w:eastAsia="Bookman Old Style" w:hAnsi="Bookman Old Style" w:cs="Bookman Old Style"/>
        </w:rPr>
        <w:t xml:space="preserve">-0.4 </w:t>
      </w:r>
      <w:r>
        <w:rPr>
          <w:rFonts w:ascii="Bookman Old Style" w:eastAsia="Bookman Old Style" w:hAnsi="Bookman Old Style" w:cs="Bookman Old Style"/>
        </w:rPr>
        <w:t>percent</w:t>
      </w:r>
      <w:r w:rsidR="001B18D6">
        <w:rPr>
          <w:rFonts w:ascii="Bookman Old Style" w:eastAsia="Bookman Old Style" w:hAnsi="Bookman Old Style" w:cs="Bookman Old Style"/>
        </w:rPr>
        <w:t xml:space="preserve"> in the fourth quarter of </w:t>
      </w:r>
      <w:r w:rsidR="000F4AFF">
        <w:rPr>
          <w:rFonts w:ascii="Bookman Old Style" w:eastAsia="Bookman Old Style" w:hAnsi="Bookman Old Style" w:cs="Bookman Old Style"/>
        </w:rPr>
        <w:t>2022 from</w:t>
      </w:r>
      <w:r>
        <w:rPr>
          <w:rFonts w:ascii="Bookman Old Style" w:eastAsia="Bookman Old Style" w:hAnsi="Bookman Old Style" w:cs="Bookman Old Style"/>
        </w:rPr>
        <w:t xml:space="preserve"> </w:t>
      </w:r>
      <w:r w:rsidR="00187934">
        <w:rPr>
          <w:rFonts w:ascii="Bookman Old Style" w:eastAsia="Bookman Old Style" w:hAnsi="Bookman Old Style" w:cs="Bookman Old Style"/>
        </w:rPr>
        <w:t>2.7</w:t>
      </w:r>
      <w:r>
        <w:rPr>
          <w:rFonts w:ascii="Bookman Old Style" w:eastAsia="Bookman Old Style" w:hAnsi="Bookman Old Style" w:cs="Bookman Old Style"/>
        </w:rPr>
        <w:t xml:space="preserve"> percent recorded in the </w:t>
      </w:r>
      <w:r w:rsidR="001B4F62">
        <w:rPr>
          <w:rFonts w:ascii="Bookman Old Style" w:eastAsia="Bookman Old Style" w:hAnsi="Bookman Old Style" w:cs="Bookman Old Style"/>
        </w:rPr>
        <w:t>3</w:t>
      </w:r>
      <w:r w:rsidR="001B4F62" w:rsidRPr="001B4F62">
        <w:rPr>
          <w:rFonts w:ascii="Bookman Old Style" w:eastAsia="Bookman Old Style" w:hAnsi="Bookman Old Style" w:cs="Bookman Old Style"/>
          <w:vertAlign w:val="superscript"/>
        </w:rPr>
        <w:t>rd</w:t>
      </w:r>
      <w:r w:rsidR="001B4F62">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The Forestry and Logging sub-sector </w:t>
      </w:r>
      <w:r w:rsidR="001B4F62">
        <w:rPr>
          <w:rFonts w:ascii="Bookman Old Style" w:eastAsia="Bookman Old Style" w:hAnsi="Bookman Old Style" w:cs="Bookman Old Style"/>
        </w:rPr>
        <w:t>declined</w:t>
      </w:r>
      <w:r>
        <w:rPr>
          <w:rFonts w:ascii="Bookman Old Style" w:eastAsia="Bookman Old Style" w:hAnsi="Bookman Old Style" w:cs="Bookman Old Style"/>
        </w:rPr>
        <w:t xml:space="preserve"> by </w:t>
      </w:r>
      <w:r w:rsidR="00EF0808">
        <w:rPr>
          <w:rFonts w:ascii="Bookman Old Style" w:eastAsia="Bookman Old Style" w:hAnsi="Bookman Old Style" w:cs="Bookman Old Style"/>
        </w:rPr>
        <w:t>0.</w:t>
      </w:r>
      <w:r w:rsidR="001B4F62">
        <w:rPr>
          <w:rFonts w:ascii="Bookman Old Style" w:eastAsia="Bookman Old Style" w:hAnsi="Bookman Old Style" w:cs="Bookman Old Style"/>
        </w:rPr>
        <w:t>5</w:t>
      </w:r>
      <w:r w:rsidR="00EF0808">
        <w:rPr>
          <w:rFonts w:ascii="Bookman Old Style" w:eastAsia="Bookman Old Style" w:hAnsi="Bookman Old Style" w:cs="Bookman Old Style"/>
        </w:rPr>
        <w:t xml:space="preserve"> percentage points from 1.2 percent </w:t>
      </w:r>
      <w:r>
        <w:rPr>
          <w:rFonts w:ascii="Bookman Old Style" w:eastAsia="Bookman Old Style" w:hAnsi="Bookman Old Style" w:cs="Bookman Old Style"/>
        </w:rPr>
        <w:t>in the 3rd quarter</w:t>
      </w:r>
      <w:r>
        <w:rPr>
          <w:rFonts w:ascii="Bookman Old Style" w:eastAsia="Bookman Old Style" w:hAnsi="Bookman Old Style" w:cs="Bookman Old Style"/>
          <w:vertAlign w:val="superscript"/>
        </w:rPr>
        <w:t xml:space="preserve"> </w:t>
      </w:r>
      <w:r>
        <w:rPr>
          <w:rFonts w:ascii="Bookman Old Style" w:eastAsia="Bookman Old Style" w:hAnsi="Bookman Old Style" w:cs="Bookman Old Style"/>
        </w:rPr>
        <w:t>of 2022</w:t>
      </w:r>
      <w:r w:rsidR="00EF0808">
        <w:rPr>
          <w:rFonts w:ascii="Bookman Old Style" w:eastAsia="Bookman Old Style" w:hAnsi="Bookman Old Style" w:cs="Bookman Old Style"/>
        </w:rPr>
        <w:t xml:space="preserve"> to 0.7 percent in the fourth quarter of 2022.</w:t>
      </w:r>
    </w:p>
    <w:p w14:paraId="1A560404" w14:textId="77777777" w:rsidR="0020333E" w:rsidRDefault="0020333E">
      <w:pPr>
        <w:pStyle w:val="ListParagraph"/>
        <w:spacing w:after="200" w:line="276" w:lineRule="auto"/>
        <w:jc w:val="both"/>
        <w:rPr>
          <w:highlight w:val="yellow"/>
        </w:rPr>
      </w:pPr>
    </w:p>
    <w:p w14:paraId="70E4C785" w14:textId="1BF818CC" w:rsidR="0020333E" w:rsidRDefault="0055139F">
      <w:pPr>
        <w:pStyle w:val="ListParagraph"/>
        <w:numPr>
          <w:ilvl w:val="0"/>
          <w:numId w:val="5"/>
        </w:numPr>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Within the Industry sector which </w:t>
      </w:r>
      <w:r w:rsidR="00A6475C">
        <w:rPr>
          <w:rFonts w:ascii="Bookman Old Style" w:eastAsia="Bookman Old Style" w:hAnsi="Bookman Old Style" w:cs="Bookman Old Style"/>
        </w:rPr>
        <w:t>contracted</w:t>
      </w:r>
      <w:r>
        <w:rPr>
          <w:rFonts w:ascii="Bookman Old Style" w:eastAsia="Bookman Old Style" w:hAnsi="Bookman Old Style" w:cs="Bookman Old Style"/>
        </w:rPr>
        <w:t xml:space="preserve"> by 0.2 percent (quarter on quarter</w:t>
      </w:r>
      <w:r w:rsidRPr="00505F71">
        <w:rPr>
          <w:rFonts w:ascii="Bookman Old Style" w:eastAsia="Bookman Old Style" w:hAnsi="Bookman Old Style" w:cs="Bookman Old Style"/>
        </w:rPr>
        <w:t xml:space="preserve">), the Mining &amp; Quarrying sub-sector </w:t>
      </w:r>
      <w:r w:rsidR="00505F71" w:rsidRPr="00505F71">
        <w:rPr>
          <w:rFonts w:ascii="Bookman Old Style" w:eastAsia="Bookman Old Style" w:hAnsi="Bookman Old Style" w:cs="Bookman Old Style"/>
        </w:rPr>
        <w:t xml:space="preserve">declined from </w:t>
      </w:r>
      <w:r w:rsidR="00A6475C" w:rsidRPr="00505F71">
        <w:rPr>
          <w:rFonts w:ascii="Bookman Old Style" w:eastAsia="Bookman Old Style" w:hAnsi="Bookman Old Style" w:cs="Bookman Old Style"/>
        </w:rPr>
        <w:t>3.7</w:t>
      </w:r>
      <w:r w:rsidRPr="00505F71">
        <w:rPr>
          <w:rFonts w:ascii="Bookman Old Style" w:eastAsia="Bookman Old Style" w:hAnsi="Bookman Old Style" w:cs="Bookman Old Style"/>
        </w:rPr>
        <w:t xml:space="preserve"> percent in the </w:t>
      </w:r>
      <w:r w:rsidR="00A6475C" w:rsidRPr="00505F71">
        <w:rPr>
          <w:rFonts w:ascii="Bookman Old Style" w:eastAsia="Bookman Old Style" w:hAnsi="Bookman Old Style" w:cs="Bookman Old Style"/>
        </w:rPr>
        <w:t>3</w:t>
      </w:r>
      <w:r w:rsidR="00A6475C" w:rsidRPr="00505F71">
        <w:rPr>
          <w:rFonts w:ascii="Bookman Old Style" w:eastAsia="Bookman Old Style" w:hAnsi="Bookman Old Style" w:cs="Bookman Old Style"/>
          <w:vertAlign w:val="superscript"/>
        </w:rPr>
        <w:t>rd</w:t>
      </w:r>
      <w:r w:rsidR="00A6475C" w:rsidRPr="00505F71">
        <w:rPr>
          <w:rFonts w:ascii="Bookman Old Style" w:eastAsia="Bookman Old Style" w:hAnsi="Bookman Old Style" w:cs="Bookman Old Style"/>
        </w:rPr>
        <w:t xml:space="preserve"> </w:t>
      </w:r>
      <w:r w:rsidRPr="00505F71">
        <w:rPr>
          <w:rFonts w:ascii="Bookman Old Style" w:eastAsia="Bookman Old Style" w:hAnsi="Bookman Old Style" w:cs="Bookman Old Style"/>
        </w:rPr>
        <w:t>quarter of 2022, to 3.</w:t>
      </w:r>
      <w:r w:rsidR="00A6475C" w:rsidRPr="00505F71">
        <w:rPr>
          <w:rFonts w:ascii="Bookman Old Style" w:eastAsia="Bookman Old Style" w:hAnsi="Bookman Old Style" w:cs="Bookman Old Style"/>
        </w:rPr>
        <w:t>2</w:t>
      </w:r>
      <w:r w:rsidRPr="00505F71">
        <w:rPr>
          <w:rFonts w:ascii="Bookman Old Style" w:eastAsia="Bookman Old Style" w:hAnsi="Bookman Old Style" w:cs="Bookman Old Style"/>
        </w:rPr>
        <w:t xml:space="preserve"> percent in the </w:t>
      </w:r>
      <w:r w:rsidR="00A6475C" w:rsidRPr="00505F71">
        <w:rPr>
          <w:rFonts w:ascii="Bookman Old Style" w:eastAsia="Bookman Old Style" w:hAnsi="Bookman Old Style" w:cs="Bookman Old Style"/>
        </w:rPr>
        <w:t>4</w:t>
      </w:r>
      <w:r w:rsidR="00A6475C" w:rsidRPr="00505F71">
        <w:rPr>
          <w:rFonts w:ascii="Bookman Old Style" w:eastAsia="Bookman Old Style" w:hAnsi="Bookman Old Style" w:cs="Bookman Old Style"/>
          <w:vertAlign w:val="superscript"/>
        </w:rPr>
        <w:t>th</w:t>
      </w:r>
      <w:r w:rsidR="00A6475C" w:rsidRPr="00505F71">
        <w:rPr>
          <w:rFonts w:ascii="Bookman Old Style" w:eastAsia="Bookman Old Style" w:hAnsi="Bookman Old Style" w:cs="Bookman Old Style"/>
        </w:rPr>
        <w:t xml:space="preserve"> </w:t>
      </w:r>
      <w:r w:rsidRPr="00505F71">
        <w:rPr>
          <w:rFonts w:ascii="Bookman Old Style" w:eastAsia="Bookman Old Style" w:hAnsi="Bookman Old Style" w:cs="Bookman Old Style"/>
        </w:rPr>
        <w:t>quarter of 2022.</w:t>
      </w:r>
      <w:r w:rsidR="00505F71">
        <w:rPr>
          <w:rFonts w:ascii="Bookman Old Style" w:eastAsia="Bookman Old Style" w:hAnsi="Bookman Old Style" w:cs="Bookman Old Style"/>
        </w:rPr>
        <w:t xml:space="preserve"> </w:t>
      </w:r>
      <w:r w:rsidR="001F4260">
        <w:rPr>
          <w:rFonts w:ascii="Bookman Old Style" w:eastAsia="Bookman Old Style" w:hAnsi="Bookman Old Style" w:cs="Bookman Old Style"/>
        </w:rPr>
        <w:t>The manufacturing</w:t>
      </w:r>
      <w:r>
        <w:rPr>
          <w:rFonts w:ascii="Bookman Old Style" w:eastAsia="Bookman Old Style" w:hAnsi="Bookman Old Style" w:cs="Bookman Old Style"/>
        </w:rPr>
        <w:t xml:space="preserve"> sub-sector </w:t>
      </w:r>
      <w:r w:rsidR="00505F71">
        <w:rPr>
          <w:rFonts w:ascii="Bookman Old Style" w:eastAsia="Bookman Old Style" w:hAnsi="Bookman Old Style" w:cs="Bookman Old Style"/>
        </w:rPr>
        <w:t xml:space="preserve">contracted </w:t>
      </w:r>
      <w:r w:rsidR="00B056BA">
        <w:rPr>
          <w:rFonts w:ascii="Bookman Old Style" w:eastAsia="Bookman Old Style" w:hAnsi="Bookman Old Style" w:cs="Bookman Old Style"/>
        </w:rPr>
        <w:t xml:space="preserve">further by 0.7 </w:t>
      </w:r>
      <w:r>
        <w:rPr>
          <w:rFonts w:ascii="Bookman Old Style" w:eastAsia="Bookman Old Style" w:hAnsi="Bookman Old Style" w:cs="Bookman Old Style"/>
        </w:rPr>
        <w:t>percent</w:t>
      </w:r>
      <w:r w:rsidR="00B056BA">
        <w:rPr>
          <w:rFonts w:ascii="Bookman Old Style" w:eastAsia="Bookman Old Style" w:hAnsi="Bookman Old Style" w:cs="Bookman Old Style"/>
        </w:rPr>
        <w:t>age points</w:t>
      </w:r>
      <w:r>
        <w:rPr>
          <w:rFonts w:ascii="Bookman Old Style" w:eastAsia="Bookman Old Style" w:hAnsi="Bookman Old Style" w:cs="Bookman Old Style"/>
        </w:rPr>
        <w:t xml:space="preserve"> in the </w:t>
      </w:r>
      <w:r w:rsidR="00A6475C">
        <w:rPr>
          <w:rFonts w:ascii="Bookman Old Style" w:eastAsia="Bookman Old Style" w:hAnsi="Bookman Old Style" w:cs="Bookman Old Style"/>
        </w:rPr>
        <w:t>4</w:t>
      </w:r>
      <w:r w:rsidR="00A6475C" w:rsidRPr="00A6475C">
        <w:rPr>
          <w:rFonts w:ascii="Bookman Old Style" w:eastAsia="Bookman Old Style" w:hAnsi="Bookman Old Style" w:cs="Bookman Old Style"/>
          <w:vertAlign w:val="superscript"/>
        </w:rPr>
        <w:t>th</w:t>
      </w:r>
      <w:r w:rsidR="00A6475C">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compared to </w:t>
      </w:r>
      <w:r w:rsidR="00A6475C">
        <w:rPr>
          <w:rFonts w:ascii="Bookman Old Style" w:eastAsia="Bookman Old Style" w:hAnsi="Bookman Old Style" w:cs="Bookman Old Style"/>
        </w:rPr>
        <w:t xml:space="preserve">the </w:t>
      </w:r>
      <w:r w:rsidR="00505F71">
        <w:rPr>
          <w:rFonts w:ascii="Bookman Old Style" w:eastAsia="Bookman Old Style" w:hAnsi="Bookman Old Style" w:cs="Bookman Old Style"/>
        </w:rPr>
        <w:t>-</w:t>
      </w:r>
      <w:r w:rsidR="00A6475C">
        <w:rPr>
          <w:rFonts w:ascii="Bookman Old Style" w:eastAsia="Bookman Old Style" w:hAnsi="Bookman Old Style" w:cs="Bookman Old Style"/>
        </w:rPr>
        <w:t xml:space="preserve">1.8 </w:t>
      </w:r>
      <w:r>
        <w:rPr>
          <w:rFonts w:ascii="Bookman Old Style" w:eastAsia="Bookman Old Style" w:hAnsi="Bookman Old Style" w:cs="Bookman Old Style"/>
        </w:rPr>
        <w:t>percent</w:t>
      </w:r>
      <w:r w:rsidR="001F4260">
        <w:rPr>
          <w:rFonts w:ascii="Bookman Old Style" w:eastAsia="Bookman Old Style" w:hAnsi="Bookman Old Style" w:cs="Bookman Old Style"/>
        </w:rPr>
        <w:t xml:space="preserve"> </w:t>
      </w:r>
      <w:r w:rsidR="00505F71">
        <w:rPr>
          <w:rFonts w:ascii="Bookman Old Style" w:eastAsia="Bookman Old Style" w:hAnsi="Bookman Old Style" w:cs="Bookman Old Style"/>
        </w:rPr>
        <w:t>contraction</w:t>
      </w:r>
      <w:r>
        <w:rPr>
          <w:rFonts w:ascii="Bookman Old Style" w:eastAsia="Bookman Old Style" w:hAnsi="Bookman Old Style" w:cs="Bookman Old Style"/>
        </w:rPr>
        <w:t xml:space="preserve"> in the </w:t>
      </w:r>
      <w:r w:rsidR="001F4260">
        <w:rPr>
          <w:rFonts w:ascii="Bookman Old Style" w:eastAsia="Bookman Old Style" w:hAnsi="Bookman Old Style" w:cs="Bookman Old Style"/>
        </w:rPr>
        <w:t>3</w:t>
      </w:r>
      <w:r w:rsidR="001F4260" w:rsidRPr="001F4260">
        <w:rPr>
          <w:rFonts w:ascii="Bookman Old Style" w:eastAsia="Bookman Old Style" w:hAnsi="Bookman Old Style" w:cs="Bookman Old Style"/>
          <w:vertAlign w:val="superscript"/>
        </w:rPr>
        <w:t>rd</w:t>
      </w:r>
      <w:r w:rsidR="001F4260">
        <w:rPr>
          <w:rFonts w:ascii="Bookman Old Style" w:eastAsia="Bookman Old Style" w:hAnsi="Bookman Old Style" w:cs="Bookman Old Style"/>
        </w:rPr>
        <w:t xml:space="preserve"> </w:t>
      </w:r>
      <w:r>
        <w:rPr>
          <w:rFonts w:ascii="Bookman Old Style" w:eastAsia="Bookman Old Style" w:hAnsi="Bookman Old Style" w:cs="Bookman Old Style"/>
        </w:rPr>
        <w:t>quarter of 2022. The</w:t>
      </w:r>
      <w:r w:rsidR="006E715C">
        <w:rPr>
          <w:rFonts w:ascii="Bookman Old Style" w:eastAsia="Bookman Old Style" w:hAnsi="Bookman Old Style" w:cs="Bookman Old Style"/>
        </w:rPr>
        <w:t>re were contraction</w:t>
      </w:r>
      <w:r w:rsidR="00D64B0C">
        <w:rPr>
          <w:rFonts w:ascii="Bookman Old Style" w:eastAsia="Bookman Old Style" w:hAnsi="Bookman Old Style" w:cs="Bookman Old Style"/>
        </w:rPr>
        <w:t>s in the</w:t>
      </w:r>
      <w:r>
        <w:rPr>
          <w:rFonts w:ascii="Bookman Old Style" w:eastAsia="Bookman Old Style" w:hAnsi="Bookman Old Style" w:cs="Bookman Old Style"/>
        </w:rPr>
        <w:t xml:space="preserve"> </w:t>
      </w:r>
      <w:r w:rsidR="001F4260">
        <w:rPr>
          <w:rFonts w:ascii="Bookman Old Style" w:eastAsia="Bookman Old Style" w:hAnsi="Bookman Old Style"/>
        </w:rPr>
        <w:t xml:space="preserve">Water Supply, Sewerage, Waste Management &amp; Remediation Activities (-4.1%), </w:t>
      </w:r>
      <w:r w:rsidR="001F4260">
        <w:rPr>
          <w:rFonts w:ascii="Bookman Old Style" w:eastAsia="Bookman Old Style" w:hAnsi="Bookman Old Style" w:cs="Bookman Old Style"/>
        </w:rPr>
        <w:t xml:space="preserve">Electricity (-3.4%) and </w:t>
      </w:r>
      <w:r>
        <w:rPr>
          <w:rFonts w:ascii="Bookman Old Style" w:eastAsia="Bookman Old Style" w:hAnsi="Bookman Old Style" w:cs="Bookman Old Style"/>
        </w:rPr>
        <w:t>construction</w:t>
      </w:r>
      <w:r w:rsidR="00D64B0C">
        <w:rPr>
          <w:rFonts w:ascii="Bookman Old Style" w:eastAsia="Bookman Old Style" w:hAnsi="Bookman Old Style" w:cs="Bookman Old Style"/>
        </w:rPr>
        <w:t xml:space="preserve"> (-1.8%</w:t>
      </w:r>
      <w:r w:rsidR="00A6641E">
        <w:rPr>
          <w:rFonts w:ascii="Bookman Old Style" w:eastAsia="Bookman Old Style" w:hAnsi="Bookman Old Style" w:cs="Bookman Old Style"/>
        </w:rPr>
        <w:t xml:space="preserve">) </w:t>
      </w:r>
      <w:r>
        <w:rPr>
          <w:rFonts w:ascii="Bookman Old Style" w:eastAsia="Bookman Old Style" w:hAnsi="Bookman Old Style" w:cs="Bookman Old Style"/>
        </w:rPr>
        <w:t>sub-sector</w:t>
      </w:r>
      <w:r w:rsidR="00D64B0C">
        <w:rPr>
          <w:rFonts w:ascii="Bookman Old Style" w:eastAsia="Bookman Old Style" w:hAnsi="Bookman Old Style" w:cs="Bookman Old Style"/>
        </w:rPr>
        <w:t>s in the</w:t>
      </w:r>
      <w:r>
        <w:rPr>
          <w:rFonts w:ascii="Bookman Old Style" w:eastAsia="Bookman Old Style" w:hAnsi="Bookman Old Style" w:cs="Bookman Old Style"/>
        </w:rPr>
        <w:t xml:space="preserve"> </w:t>
      </w:r>
      <w:r w:rsidR="001F4260">
        <w:rPr>
          <w:rFonts w:ascii="Bookman Old Style" w:eastAsia="Bookman Old Style" w:hAnsi="Bookman Old Style" w:cs="Bookman Old Style"/>
        </w:rPr>
        <w:t>4</w:t>
      </w:r>
      <w:r w:rsidR="001F4260" w:rsidRPr="001F4260">
        <w:rPr>
          <w:rFonts w:ascii="Bookman Old Style" w:eastAsia="Bookman Old Style" w:hAnsi="Bookman Old Style" w:cs="Bookman Old Style"/>
          <w:vertAlign w:val="superscript"/>
        </w:rPr>
        <w:t>th</w:t>
      </w:r>
      <w:r w:rsidR="001F4260">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w:t>
      </w:r>
      <w:r w:rsidR="001F4260">
        <w:rPr>
          <w:rFonts w:ascii="Bookman Old Style" w:eastAsia="Bookman Old Style" w:hAnsi="Bookman Old Style" w:cs="Bookman Old Style"/>
        </w:rPr>
        <w:t>compared to</w:t>
      </w:r>
      <w:r w:rsidR="000F4AFF">
        <w:rPr>
          <w:rFonts w:ascii="Bookman Old Style" w:eastAsia="Bookman Old Style" w:hAnsi="Bookman Old Style" w:cs="Bookman Old Style"/>
        </w:rPr>
        <w:t xml:space="preserve"> the</w:t>
      </w:r>
      <w:r>
        <w:rPr>
          <w:rFonts w:ascii="Bookman Old Style" w:eastAsia="Bookman Old Style" w:hAnsi="Bookman Old Style" w:cs="Bookman Old Style"/>
        </w:rPr>
        <w:t xml:space="preserve"> </w:t>
      </w:r>
      <w:r w:rsidR="001F4260">
        <w:rPr>
          <w:rFonts w:ascii="Bookman Old Style" w:eastAsia="Bookman Old Style" w:hAnsi="Bookman Old Style" w:cs="Bookman Old Style"/>
        </w:rPr>
        <w:t>3</w:t>
      </w:r>
      <w:r w:rsidR="001F4260" w:rsidRPr="001F4260">
        <w:rPr>
          <w:rFonts w:ascii="Bookman Old Style" w:eastAsia="Bookman Old Style" w:hAnsi="Bookman Old Style" w:cs="Bookman Old Style"/>
          <w:vertAlign w:val="superscript"/>
        </w:rPr>
        <w:t>rd</w:t>
      </w:r>
      <w:r w:rsidR="001F4260">
        <w:rPr>
          <w:rFonts w:ascii="Bookman Old Style" w:eastAsia="Bookman Old Style" w:hAnsi="Bookman Old Style" w:cs="Bookman Old Style"/>
        </w:rPr>
        <w:t xml:space="preserve"> </w:t>
      </w:r>
      <w:r>
        <w:rPr>
          <w:rFonts w:ascii="Bookman Old Style" w:eastAsia="Bookman Old Style" w:hAnsi="Bookman Old Style" w:cs="Bookman Old Style"/>
        </w:rPr>
        <w:t>quarter</w:t>
      </w:r>
      <w:r w:rsidR="00FC7CCB">
        <w:rPr>
          <w:rFonts w:ascii="Bookman Old Style" w:eastAsia="Bookman Old Style" w:hAnsi="Bookman Old Style" w:cs="Bookman Old Style"/>
        </w:rPr>
        <w:t>.</w:t>
      </w:r>
      <w:r>
        <w:rPr>
          <w:rFonts w:ascii="Bookman Old Style" w:eastAsia="Bookman Old Style" w:hAnsi="Bookman Old Style" w:cs="Bookman Old Style"/>
        </w:rPr>
        <w:t xml:space="preserve"> </w:t>
      </w:r>
    </w:p>
    <w:p w14:paraId="13C730C1" w14:textId="77777777" w:rsidR="0020333E" w:rsidRDefault="0020333E">
      <w:pPr>
        <w:pStyle w:val="ListParagraph"/>
        <w:rPr>
          <w:rFonts w:ascii="Bookman Old Style" w:eastAsia="Bookman Old Style" w:hAnsi="Bookman Old Style" w:cs="Bookman Old Style"/>
        </w:rPr>
      </w:pPr>
    </w:p>
    <w:p w14:paraId="63082AD8" w14:textId="06D7993B" w:rsidR="00C44E34" w:rsidRDefault="0055139F" w:rsidP="0094662F">
      <w:pPr>
        <w:pStyle w:val="ListParagraph"/>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 xml:space="preserve">In the Services sector, Information &amp; Communication sub-sector expanded by </w:t>
      </w:r>
      <w:r w:rsidR="0007617F">
        <w:rPr>
          <w:rFonts w:ascii="Bookman Old Style" w:eastAsia="Bookman Old Style" w:hAnsi="Bookman Old Style" w:cs="Bookman Old Style"/>
        </w:rPr>
        <w:t>5</w:t>
      </w:r>
      <w:r>
        <w:rPr>
          <w:rFonts w:ascii="Bookman Old Style" w:eastAsia="Bookman Old Style" w:hAnsi="Bookman Old Style" w:cs="Bookman Old Style"/>
        </w:rPr>
        <w:t xml:space="preserve">.0 percent in the </w:t>
      </w:r>
      <w:r w:rsidR="0007617F">
        <w:rPr>
          <w:rFonts w:ascii="Bookman Old Style" w:eastAsia="Bookman Old Style" w:hAnsi="Bookman Old Style" w:cs="Bookman Old Style"/>
        </w:rPr>
        <w:t>4</w:t>
      </w:r>
      <w:r w:rsidR="0007617F" w:rsidRPr="0007617F">
        <w:rPr>
          <w:rFonts w:ascii="Bookman Old Style" w:eastAsia="Bookman Old Style" w:hAnsi="Bookman Old Style" w:cs="Bookman Old Style"/>
          <w:vertAlign w:val="superscript"/>
        </w:rPr>
        <w:t>th</w:t>
      </w:r>
      <w:r w:rsidR="0007617F">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compared to a growth of </w:t>
      </w:r>
      <w:r w:rsidR="0007617F">
        <w:rPr>
          <w:rFonts w:ascii="Bookman Old Style" w:eastAsia="Bookman Old Style" w:hAnsi="Bookman Old Style" w:cs="Bookman Old Style"/>
        </w:rPr>
        <w:t>4.5</w:t>
      </w:r>
      <w:r>
        <w:rPr>
          <w:rFonts w:ascii="Bookman Old Style" w:eastAsia="Bookman Old Style" w:hAnsi="Bookman Old Style" w:cs="Bookman Old Style"/>
        </w:rPr>
        <w:t xml:space="preserve"> percent in the </w:t>
      </w:r>
      <w:r w:rsidR="0007617F">
        <w:rPr>
          <w:rFonts w:ascii="Bookman Old Style" w:eastAsia="Bookman Old Style" w:hAnsi="Bookman Old Style" w:cs="Bookman Old Style"/>
        </w:rPr>
        <w:t>3</w:t>
      </w:r>
      <w:r w:rsidR="0007617F" w:rsidRPr="0007617F">
        <w:rPr>
          <w:rFonts w:ascii="Bookman Old Style" w:eastAsia="Bookman Old Style" w:hAnsi="Bookman Old Style" w:cs="Bookman Old Style"/>
          <w:vertAlign w:val="superscript"/>
        </w:rPr>
        <w:t>rd</w:t>
      </w:r>
      <w:r w:rsidR="0007617F">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w:t>
      </w:r>
      <w:r w:rsidR="0007617F">
        <w:rPr>
          <w:rFonts w:ascii="Bookman Old Style" w:eastAsia="Bookman Old Style" w:hAnsi="Bookman Old Style"/>
        </w:rPr>
        <w:t xml:space="preserve">Public Administration, Defense &amp; Social Security and </w:t>
      </w:r>
      <w:r>
        <w:rPr>
          <w:rFonts w:ascii="Bookman Old Style" w:eastAsia="Bookman Old Style" w:hAnsi="Bookman Old Style" w:cs="Bookman Old Style"/>
        </w:rPr>
        <w:t>Health &amp; Social Work activities recorded growth rate</w:t>
      </w:r>
      <w:r w:rsidR="0007617F">
        <w:rPr>
          <w:rFonts w:ascii="Bookman Old Style" w:eastAsia="Bookman Old Style" w:hAnsi="Bookman Old Style" w:cs="Bookman Old Style"/>
        </w:rPr>
        <w:t>s</w:t>
      </w:r>
      <w:r>
        <w:rPr>
          <w:rFonts w:ascii="Bookman Old Style" w:eastAsia="Bookman Old Style" w:hAnsi="Bookman Old Style" w:cs="Bookman Old Style"/>
        </w:rPr>
        <w:t xml:space="preserve"> of </w:t>
      </w:r>
      <w:r w:rsidR="0007617F">
        <w:rPr>
          <w:rFonts w:ascii="Bookman Old Style" w:eastAsia="Bookman Old Style" w:hAnsi="Bookman Old Style" w:cs="Bookman Old Style"/>
        </w:rPr>
        <w:t>3.7 percent</w:t>
      </w:r>
      <w:r>
        <w:rPr>
          <w:rFonts w:ascii="Bookman Old Style" w:eastAsia="Bookman Old Style" w:hAnsi="Bookman Old Style" w:cs="Bookman Old Style"/>
        </w:rPr>
        <w:t xml:space="preserve"> and </w:t>
      </w:r>
      <w:r w:rsidR="0007617F">
        <w:rPr>
          <w:rFonts w:ascii="Bookman Old Style" w:eastAsia="Bookman Old Style" w:hAnsi="Bookman Old Style" w:cs="Bookman Old Style"/>
        </w:rPr>
        <w:t>3.0</w:t>
      </w:r>
      <w:r>
        <w:rPr>
          <w:rFonts w:ascii="Bookman Old Style" w:eastAsia="Bookman Old Style" w:hAnsi="Bookman Old Style" w:cs="Bookman Old Style"/>
        </w:rPr>
        <w:t xml:space="preserve"> percent in quarter </w:t>
      </w:r>
      <w:r w:rsidR="0007617F">
        <w:rPr>
          <w:rFonts w:ascii="Bookman Old Style" w:eastAsia="Bookman Old Style" w:hAnsi="Bookman Old Style" w:cs="Bookman Old Style"/>
        </w:rPr>
        <w:t>four</w:t>
      </w:r>
      <w:r>
        <w:rPr>
          <w:rFonts w:ascii="Bookman Old Style" w:eastAsia="Bookman Old Style" w:hAnsi="Bookman Old Style" w:cs="Bookman Old Style"/>
        </w:rPr>
        <w:t xml:space="preserve"> of 2022 from </w:t>
      </w:r>
      <w:r w:rsidR="0007617F">
        <w:rPr>
          <w:rFonts w:ascii="Bookman Old Style" w:eastAsia="Bookman Old Style" w:hAnsi="Bookman Old Style" w:cs="Bookman Old Style"/>
        </w:rPr>
        <w:t>1.2 percent</w:t>
      </w:r>
      <w:r>
        <w:rPr>
          <w:rFonts w:ascii="Bookman Old Style" w:eastAsia="Bookman Old Style" w:hAnsi="Bookman Old Style" w:cs="Bookman Old Style"/>
        </w:rPr>
        <w:t xml:space="preserve"> and </w:t>
      </w:r>
      <w:r w:rsidR="0007617F">
        <w:rPr>
          <w:rFonts w:ascii="Bookman Old Style" w:eastAsia="Bookman Old Style" w:hAnsi="Bookman Old Style" w:cs="Bookman Old Style"/>
        </w:rPr>
        <w:t>2.6</w:t>
      </w:r>
      <w:r>
        <w:rPr>
          <w:rFonts w:ascii="Bookman Old Style" w:eastAsia="Bookman Old Style" w:hAnsi="Bookman Old Style" w:cs="Bookman Old Style"/>
        </w:rPr>
        <w:t xml:space="preserve"> percent respectively in quarter </w:t>
      </w:r>
      <w:r w:rsidR="0007617F">
        <w:rPr>
          <w:rFonts w:ascii="Bookman Old Style" w:eastAsia="Bookman Old Style" w:hAnsi="Bookman Old Style" w:cs="Bookman Old Style"/>
        </w:rPr>
        <w:t>three</w:t>
      </w:r>
      <w:r>
        <w:rPr>
          <w:rFonts w:ascii="Bookman Old Style" w:eastAsia="Bookman Old Style" w:hAnsi="Bookman Old Style" w:cs="Bookman Old Style"/>
        </w:rPr>
        <w:t xml:space="preserve"> of 2022. </w:t>
      </w:r>
      <w:r w:rsidR="0000607C">
        <w:rPr>
          <w:rFonts w:ascii="Bookman Old Style" w:eastAsia="Bookman Old Style" w:hAnsi="Bookman Old Style" w:cs="Bookman Old Style"/>
        </w:rPr>
        <w:t xml:space="preserve">Finance &amp; Insurance activities </w:t>
      </w:r>
      <w:r w:rsidR="0094662F">
        <w:rPr>
          <w:rFonts w:ascii="Bookman Old Style" w:eastAsia="Bookman Old Style" w:hAnsi="Bookman Old Style" w:cs="Bookman Old Style"/>
        </w:rPr>
        <w:t>expanded by 1</w:t>
      </w:r>
      <w:r w:rsidR="004F6AA2">
        <w:rPr>
          <w:rFonts w:ascii="Bookman Old Style" w:eastAsia="Bookman Old Style" w:hAnsi="Bookman Old Style" w:cs="Bookman Old Style"/>
        </w:rPr>
        <w:t>.3</w:t>
      </w:r>
      <w:r w:rsidR="0094662F">
        <w:rPr>
          <w:rFonts w:ascii="Bookman Old Style" w:eastAsia="Bookman Old Style" w:hAnsi="Bookman Old Style" w:cs="Bookman Old Style"/>
        </w:rPr>
        <w:t xml:space="preserve"> percentage </w:t>
      </w:r>
      <w:r w:rsidR="00C44E34">
        <w:rPr>
          <w:rFonts w:ascii="Bookman Old Style" w:eastAsia="Bookman Old Style" w:hAnsi="Bookman Old Style" w:cs="Bookman Old Style"/>
        </w:rPr>
        <w:t>points</w:t>
      </w:r>
      <w:r w:rsidR="0094662F">
        <w:rPr>
          <w:rFonts w:ascii="Bookman Old Style" w:eastAsia="Bookman Old Style" w:hAnsi="Bookman Old Style" w:cs="Bookman Old Style"/>
        </w:rPr>
        <w:t xml:space="preserve"> from </w:t>
      </w:r>
      <w:r w:rsidR="004F6AA2">
        <w:rPr>
          <w:rFonts w:ascii="Bookman Old Style" w:eastAsia="Bookman Old Style" w:hAnsi="Bookman Old Style" w:cs="Bookman Old Style"/>
        </w:rPr>
        <w:t>1.1</w:t>
      </w:r>
      <w:r w:rsidR="0094662F">
        <w:rPr>
          <w:rFonts w:ascii="Bookman Old Style" w:eastAsia="Bookman Old Style" w:hAnsi="Bookman Old Style" w:cs="Bookman Old Style"/>
        </w:rPr>
        <w:t xml:space="preserve"> percent in quarter three of 2022 to </w:t>
      </w:r>
      <w:r w:rsidR="0000607C">
        <w:rPr>
          <w:rFonts w:ascii="Bookman Old Style" w:eastAsia="Bookman Old Style" w:hAnsi="Bookman Old Style" w:cs="Bookman Old Style"/>
        </w:rPr>
        <w:t>2.</w:t>
      </w:r>
      <w:r w:rsidR="004F6AA2">
        <w:rPr>
          <w:rFonts w:ascii="Bookman Old Style" w:eastAsia="Bookman Old Style" w:hAnsi="Bookman Old Style" w:cs="Bookman Old Style"/>
        </w:rPr>
        <w:t>4</w:t>
      </w:r>
      <w:r w:rsidR="0000607C">
        <w:rPr>
          <w:rFonts w:ascii="Bookman Old Style" w:eastAsia="Bookman Old Style" w:hAnsi="Bookman Old Style" w:cs="Bookman Old Style"/>
        </w:rPr>
        <w:t xml:space="preserve"> percent in quarter four of the same year. </w:t>
      </w:r>
    </w:p>
    <w:p w14:paraId="525D368C" w14:textId="77777777" w:rsidR="00C44E34" w:rsidRDefault="00C44E34" w:rsidP="0094662F">
      <w:pPr>
        <w:pStyle w:val="ListParagraph"/>
        <w:spacing w:line="276" w:lineRule="auto"/>
        <w:jc w:val="both"/>
        <w:rPr>
          <w:rFonts w:ascii="Bookman Old Style" w:eastAsia="Bookman Old Style" w:hAnsi="Bookman Old Style" w:cs="Bookman Old Style"/>
        </w:rPr>
      </w:pPr>
    </w:p>
    <w:p w14:paraId="5BA62445" w14:textId="632349FB" w:rsidR="0020333E" w:rsidRPr="00C44E34" w:rsidRDefault="0094662F" w:rsidP="00C44E34">
      <w:pPr>
        <w:pStyle w:val="ListParagraph"/>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Transport &amp; Storage expanded</w:t>
      </w:r>
      <w:r w:rsidR="00C44E34">
        <w:rPr>
          <w:rFonts w:ascii="Bookman Old Style" w:eastAsia="Bookman Old Style" w:hAnsi="Bookman Old Style" w:cs="Bookman Old Style"/>
        </w:rPr>
        <w:t xml:space="preserve"> to 1.0</w:t>
      </w:r>
      <w:r>
        <w:rPr>
          <w:rFonts w:ascii="Bookman Old Style" w:eastAsia="Bookman Old Style" w:hAnsi="Bookman Old Style" w:cs="Bookman Old Style"/>
        </w:rPr>
        <w:t xml:space="preserve"> percent in the </w:t>
      </w:r>
      <w:r w:rsidR="00C44E34">
        <w:rPr>
          <w:rFonts w:ascii="Bookman Old Style" w:eastAsia="Bookman Old Style" w:hAnsi="Bookman Old Style" w:cs="Bookman Old Style"/>
        </w:rPr>
        <w:t>4</w:t>
      </w:r>
      <w:r w:rsidR="00C44E34" w:rsidRPr="00C44E34">
        <w:rPr>
          <w:rFonts w:ascii="Bookman Old Style" w:eastAsia="Bookman Old Style" w:hAnsi="Bookman Old Style" w:cs="Bookman Old Style"/>
          <w:vertAlign w:val="superscript"/>
        </w:rPr>
        <w:t>th</w:t>
      </w:r>
      <w:r w:rsidR="00C44E34">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compared to a growth of </w:t>
      </w:r>
      <w:r w:rsidR="00C44E34">
        <w:rPr>
          <w:rFonts w:ascii="Bookman Old Style" w:eastAsia="Bookman Old Style" w:hAnsi="Bookman Old Style" w:cs="Bookman Old Style"/>
        </w:rPr>
        <w:t>1.6</w:t>
      </w:r>
      <w:r>
        <w:rPr>
          <w:rFonts w:ascii="Bookman Old Style" w:eastAsia="Bookman Old Style" w:hAnsi="Bookman Old Style" w:cs="Bookman Old Style"/>
        </w:rPr>
        <w:t xml:space="preserve"> percent in the </w:t>
      </w:r>
      <w:r w:rsidR="00C44E34">
        <w:rPr>
          <w:rFonts w:ascii="Bookman Old Style" w:eastAsia="Bookman Old Style" w:hAnsi="Bookman Old Style" w:cs="Bookman Old Style"/>
        </w:rPr>
        <w:t>3</w:t>
      </w:r>
      <w:r w:rsidR="00C44E34" w:rsidRPr="00C44E34">
        <w:rPr>
          <w:rFonts w:ascii="Bookman Old Style" w:eastAsia="Bookman Old Style" w:hAnsi="Bookman Old Style" w:cs="Bookman Old Style"/>
          <w:vertAlign w:val="superscript"/>
        </w:rPr>
        <w:t>rd</w:t>
      </w:r>
      <w:r w:rsidR="00C44E34">
        <w:rPr>
          <w:rFonts w:ascii="Bookman Old Style" w:eastAsia="Bookman Old Style" w:hAnsi="Bookman Old Style" w:cs="Bookman Old Style"/>
        </w:rPr>
        <w:t xml:space="preserve"> </w:t>
      </w:r>
      <w:r>
        <w:rPr>
          <w:rFonts w:ascii="Bookman Old Style" w:eastAsia="Bookman Old Style" w:hAnsi="Bookman Old Style" w:cs="Bookman Old Style"/>
        </w:rPr>
        <w:t xml:space="preserve">quarter of 2022. Finance &amp; Insurance maintained its 1.1 percent growth between quarters two and three of 2022. </w:t>
      </w:r>
    </w:p>
    <w:p w14:paraId="0FCA41D6" w14:textId="77777777" w:rsidR="0020333E" w:rsidRDefault="0020333E">
      <w:pPr>
        <w:pStyle w:val="ListParagraph"/>
        <w:spacing w:line="276" w:lineRule="auto"/>
        <w:jc w:val="both"/>
        <w:rPr>
          <w:rFonts w:ascii="Bookman Old Style" w:eastAsia="Bookman Old Style" w:hAnsi="Bookman Old Style" w:cs="Bookman Old Style"/>
        </w:rPr>
      </w:pPr>
    </w:p>
    <w:p w14:paraId="5D4C6F41" w14:textId="20F22D13" w:rsidR="0020333E" w:rsidRDefault="007F7813">
      <w:pPr>
        <w:pStyle w:val="ListParagraph"/>
        <w:spacing w:line="276" w:lineRule="auto"/>
        <w:jc w:val="both"/>
        <w:rPr>
          <w:rFonts w:ascii="Bookman Old Style" w:eastAsia="Bookman Old Style" w:hAnsi="Bookman Old Style" w:cs="Bookman Old Style"/>
        </w:rPr>
      </w:pPr>
      <w:r>
        <w:rPr>
          <w:rFonts w:ascii="Bookman Old Style" w:eastAsia="Bookman Old Style" w:hAnsi="Bookman Old Style"/>
        </w:rPr>
        <w:t>Real Estate</w:t>
      </w:r>
      <w:r w:rsidR="0055139F">
        <w:rPr>
          <w:rFonts w:ascii="Bookman Old Style" w:eastAsia="Bookman Old Style" w:hAnsi="Bookman Old Style"/>
        </w:rPr>
        <w:t xml:space="preserve"> recorded</w:t>
      </w:r>
      <w:r>
        <w:rPr>
          <w:rFonts w:ascii="Bookman Old Style" w:eastAsia="Bookman Old Style" w:hAnsi="Bookman Old Style"/>
        </w:rPr>
        <w:t xml:space="preserve"> a further </w:t>
      </w:r>
      <w:r w:rsidR="0055139F">
        <w:rPr>
          <w:rFonts w:ascii="Bookman Old Style" w:eastAsia="Bookman Old Style" w:hAnsi="Bookman Old Style"/>
        </w:rPr>
        <w:t xml:space="preserve">decline in growth from </w:t>
      </w:r>
      <w:r>
        <w:rPr>
          <w:rFonts w:ascii="Bookman Old Style" w:eastAsia="Bookman Old Style" w:hAnsi="Bookman Old Style"/>
        </w:rPr>
        <w:t>-1.9</w:t>
      </w:r>
      <w:r w:rsidR="0055139F">
        <w:rPr>
          <w:rFonts w:ascii="Bookman Old Style" w:eastAsia="Bookman Old Style" w:hAnsi="Bookman Old Style"/>
        </w:rPr>
        <w:t xml:space="preserve"> percent in the </w:t>
      </w:r>
      <w:r>
        <w:rPr>
          <w:rFonts w:ascii="Bookman Old Style" w:eastAsia="Bookman Old Style" w:hAnsi="Bookman Old Style"/>
        </w:rPr>
        <w:t>3</w:t>
      </w:r>
      <w:r w:rsidRPr="007F7813">
        <w:rPr>
          <w:rFonts w:ascii="Bookman Old Style" w:eastAsia="Bookman Old Style" w:hAnsi="Bookman Old Style"/>
          <w:vertAlign w:val="superscript"/>
        </w:rPr>
        <w:t>rd</w:t>
      </w:r>
      <w:r>
        <w:rPr>
          <w:rFonts w:ascii="Bookman Old Style" w:eastAsia="Bookman Old Style" w:hAnsi="Bookman Old Style"/>
        </w:rPr>
        <w:t xml:space="preserve"> </w:t>
      </w:r>
      <w:r w:rsidR="0055139F">
        <w:rPr>
          <w:rFonts w:ascii="Bookman Old Style" w:eastAsia="Bookman Old Style" w:hAnsi="Bookman Old Style" w:cs="Bookman Old Style"/>
        </w:rPr>
        <w:t xml:space="preserve">quarter of 2022 to </w:t>
      </w:r>
      <w:r>
        <w:rPr>
          <w:rFonts w:ascii="Bookman Old Style" w:eastAsia="Bookman Old Style" w:hAnsi="Bookman Old Style" w:cs="Bookman Old Style"/>
        </w:rPr>
        <w:t>-3.9</w:t>
      </w:r>
      <w:r w:rsidR="0055139F">
        <w:rPr>
          <w:rFonts w:ascii="Bookman Old Style" w:eastAsia="Bookman Old Style" w:hAnsi="Bookman Old Style" w:cs="Bookman Old Style"/>
        </w:rPr>
        <w:t xml:space="preserve"> percent in the </w:t>
      </w:r>
      <w:r>
        <w:rPr>
          <w:rFonts w:ascii="Bookman Old Style" w:eastAsia="Bookman Old Style" w:hAnsi="Bookman Old Style" w:cs="Bookman Old Style"/>
        </w:rPr>
        <w:t>4</w:t>
      </w:r>
      <w:r w:rsidRPr="007F7813">
        <w:rPr>
          <w:rFonts w:ascii="Bookman Old Style" w:eastAsia="Bookman Old Style" w:hAnsi="Bookman Old Style" w:cs="Bookman Old Style"/>
          <w:vertAlign w:val="superscript"/>
        </w:rPr>
        <w:t>th</w:t>
      </w:r>
      <w:r>
        <w:rPr>
          <w:rFonts w:ascii="Bookman Old Style" w:eastAsia="Bookman Old Style" w:hAnsi="Bookman Old Style" w:cs="Bookman Old Style"/>
        </w:rPr>
        <w:t xml:space="preserve"> </w:t>
      </w:r>
      <w:r w:rsidR="0055139F">
        <w:rPr>
          <w:rFonts w:ascii="Bookman Old Style" w:eastAsia="Bookman Old Style" w:hAnsi="Bookman Old Style" w:cs="Bookman Old Style"/>
        </w:rPr>
        <w:t xml:space="preserve">quarter of 2022. </w:t>
      </w:r>
      <w:r w:rsidR="00C44E34">
        <w:rPr>
          <w:rFonts w:ascii="Bookman Old Style" w:eastAsia="Bookman Old Style" w:hAnsi="Bookman Old Style" w:cs="Bookman Old Style"/>
        </w:rPr>
        <w:t xml:space="preserve">There was a further contraction in the activities of </w:t>
      </w:r>
      <w:r w:rsidR="00C44E34" w:rsidRPr="00C44E34">
        <w:rPr>
          <w:rFonts w:ascii="Bookman Old Style" w:eastAsia="Bookman Old Style" w:hAnsi="Bookman Old Style" w:cs="Bookman Old Style"/>
        </w:rPr>
        <w:t>Professional, Administrative &amp; Support Service</w:t>
      </w:r>
      <w:r w:rsidR="00C44E34">
        <w:rPr>
          <w:rFonts w:ascii="Bookman Old Style" w:eastAsia="Bookman Old Style" w:hAnsi="Bookman Old Style" w:cs="Bookman Old Style"/>
        </w:rPr>
        <w:t>s</w:t>
      </w:r>
      <w:r w:rsidR="00C44E34" w:rsidRPr="00C44E34">
        <w:rPr>
          <w:rFonts w:ascii="Bookman Old Style" w:eastAsia="Bookman Old Style" w:hAnsi="Bookman Old Style" w:cs="Bookman Old Style"/>
        </w:rPr>
        <w:t xml:space="preserve"> </w:t>
      </w:r>
      <w:r w:rsidR="00C44E34">
        <w:rPr>
          <w:rFonts w:ascii="Bookman Old Style" w:eastAsia="Bookman Old Style" w:hAnsi="Bookman Old Style" w:cs="Bookman Old Style"/>
        </w:rPr>
        <w:t>from the -4.2 percent recorded in quarter three of 2022 to -1.7 percent the same year.</w:t>
      </w:r>
    </w:p>
    <w:p w14:paraId="5854F983" w14:textId="77777777" w:rsidR="0020333E" w:rsidRDefault="0020333E">
      <w:pPr>
        <w:pStyle w:val="ListParagraph"/>
        <w:spacing w:line="276" w:lineRule="auto"/>
        <w:jc w:val="both"/>
        <w:rPr>
          <w:rFonts w:ascii="Bookman Old Style" w:eastAsia="Bookman Old Style" w:hAnsi="Bookman Old Style" w:cs="Bookman Old Style"/>
        </w:rPr>
      </w:pPr>
    </w:p>
    <w:p w14:paraId="4EF4FBD1" w14:textId="10735F60" w:rsidR="0020333E" w:rsidRDefault="007E773F">
      <w:pPr>
        <w:pStyle w:val="ListParagraph"/>
        <w:spacing w:line="276" w:lineRule="auto"/>
        <w:jc w:val="both"/>
        <w:rPr>
          <w:rFonts w:ascii="Bookman Old Style" w:eastAsia="Bookman Old Style" w:hAnsi="Bookman Old Style" w:cs="Bookman Old Style"/>
        </w:rPr>
      </w:pPr>
      <w:r>
        <w:rPr>
          <w:rFonts w:ascii="Bookman Old Style" w:eastAsia="Bookman Old Style" w:hAnsi="Bookman Old Style" w:cs="Bookman Old Style"/>
        </w:rPr>
        <w:t>T</w:t>
      </w:r>
      <w:r w:rsidR="00453F86">
        <w:rPr>
          <w:rFonts w:ascii="Bookman Old Style" w:eastAsia="Bookman Old Style" w:hAnsi="Bookman Old Style" w:cs="Bookman Old Style"/>
        </w:rPr>
        <w:t xml:space="preserve">he remaining </w:t>
      </w:r>
      <w:r w:rsidR="006B47EF">
        <w:rPr>
          <w:rFonts w:ascii="Bookman Old Style" w:eastAsia="Bookman Old Style" w:hAnsi="Bookman Old Style" w:cs="Bookman Old Style"/>
        </w:rPr>
        <w:t>activities,</w:t>
      </w:r>
      <w:r w:rsidR="00453F86">
        <w:rPr>
          <w:rFonts w:ascii="Bookman Old Style" w:eastAsia="Bookman Old Style" w:hAnsi="Bookman Old Style" w:cs="Bookman Old Style"/>
        </w:rPr>
        <w:t xml:space="preserve"> </w:t>
      </w:r>
      <w:r>
        <w:rPr>
          <w:rFonts w:ascii="Bookman Old Style" w:eastAsia="Bookman Old Style" w:hAnsi="Bookman Old Style" w:cs="Bookman Old Style"/>
        </w:rPr>
        <w:t xml:space="preserve">however, expanded </w:t>
      </w:r>
      <w:r w:rsidR="00453F86">
        <w:rPr>
          <w:rFonts w:ascii="Bookman Old Style" w:eastAsia="Bookman Old Style" w:hAnsi="Bookman Old Style" w:cs="Bookman Old Style"/>
        </w:rPr>
        <w:t>within the services sector</w:t>
      </w:r>
      <w:r>
        <w:rPr>
          <w:rFonts w:ascii="Bookman Old Style" w:eastAsia="Bookman Old Style" w:hAnsi="Bookman Old Style" w:cs="Bookman Old Style"/>
        </w:rPr>
        <w:t>.</w:t>
      </w:r>
    </w:p>
    <w:p w14:paraId="05D2F43C" w14:textId="6ACE36BE" w:rsidR="0020333E" w:rsidRPr="009A5A4E" w:rsidRDefault="0020333E" w:rsidP="009A5A4E">
      <w:pPr>
        <w:spacing w:line="276" w:lineRule="auto"/>
        <w:jc w:val="both"/>
        <w:rPr>
          <w:rFonts w:ascii="Bookman Old Style" w:eastAsia="Bookman Old Style" w:hAnsi="Bookman Old Style" w:cs="Bookman Old Style"/>
        </w:rPr>
      </w:pPr>
    </w:p>
    <w:p w14:paraId="02833A26" w14:textId="4406B7F8" w:rsidR="0020333E" w:rsidRDefault="0055139F">
      <w:pPr>
        <w:jc w:val="both"/>
        <w:rPr>
          <w:rFonts w:ascii="Bookman Old Style" w:eastAsia="Bookman Old Style" w:hAnsi="Bookman Old Style" w:cs="Bookman Old Style"/>
          <w:b/>
        </w:rPr>
      </w:pPr>
      <w:r>
        <w:rPr>
          <w:rFonts w:ascii="Bookman Old Style" w:eastAsia="Bookman Old Style" w:hAnsi="Bookman Old Style" w:cs="Bookman Old Style"/>
          <w:b/>
        </w:rPr>
        <w:t>Table 2: Quarter-on-quarter seasonally adjusted growth rates in 2022Q</w:t>
      </w:r>
      <w:r w:rsidR="000F4AFF">
        <w:rPr>
          <w:rFonts w:ascii="Bookman Old Style" w:eastAsia="Bookman Old Style" w:hAnsi="Bookman Old Style" w:cs="Bookman Old Style"/>
          <w:b/>
        </w:rPr>
        <w:t>4</w:t>
      </w:r>
    </w:p>
    <w:tbl>
      <w:tblPr>
        <w:tblStyle w:val="Style12"/>
        <w:tblW w:w="9733" w:type="dxa"/>
        <w:tblBorders>
          <w:top w:val="single" w:sz="4" w:space="0" w:color="000000"/>
          <w:left w:val="single" w:sz="4" w:space="0" w:color="000000"/>
          <w:bottom w:val="single" w:sz="4" w:space="0" w:color="000000"/>
          <w:right w:val="single" w:sz="4" w:space="0" w:color="000000"/>
        </w:tblBorders>
        <w:tblLayout w:type="fixed"/>
        <w:tblLook w:val="04A0" w:firstRow="1" w:lastRow="0" w:firstColumn="1" w:lastColumn="0" w:noHBand="0" w:noVBand="1"/>
      </w:tblPr>
      <w:tblGrid>
        <w:gridCol w:w="1534"/>
        <w:gridCol w:w="3638"/>
        <w:gridCol w:w="1108"/>
        <w:gridCol w:w="2426"/>
        <w:gridCol w:w="1027"/>
      </w:tblGrid>
      <w:tr w:rsidR="0020333E" w14:paraId="42FCBD0C" w14:textId="77777777" w:rsidTr="006C2863">
        <w:trPr>
          <w:trHeight w:val="195"/>
        </w:trPr>
        <w:tc>
          <w:tcPr>
            <w:tcW w:w="1534" w:type="dxa"/>
            <w:tcBorders>
              <w:top w:val="single" w:sz="4" w:space="0" w:color="000000"/>
              <w:bottom w:val="single" w:sz="4" w:space="0" w:color="000000"/>
              <w:right w:val="single" w:sz="4" w:space="0" w:color="000000"/>
            </w:tcBorders>
          </w:tcPr>
          <w:p w14:paraId="7F5A6DFC" w14:textId="77777777" w:rsidR="0020333E" w:rsidRDefault="0055139F">
            <w:pPr>
              <w:jc w:val="both"/>
              <w:rPr>
                <w:rFonts w:ascii="Bookman Old Style" w:eastAsia="Bookman Old Style" w:hAnsi="Bookman Old Style" w:cs="Bookman Old Style"/>
                <w:b/>
                <w:color w:val="auto"/>
                <w:sz w:val="26"/>
                <w:szCs w:val="26"/>
              </w:rPr>
            </w:pPr>
            <w:r>
              <w:rPr>
                <w:rFonts w:ascii="Bookman Old Style" w:eastAsia="Bookman Old Style" w:hAnsi="Bookman Old Style" w:cs="Bookman Old Style"/>
                <w:b/>
                <w:color w:val="auto"/>
                <w:sz w:val="26"/>
                <w:szCs w:val="26"/>
              </w:rPr>
              <w:t>Sector</w:t>
            </w:r>
          </w:p>
        </w:tc>
        <w:tc>
          <w:tcPr>
            <w:tcW w:w="3638" w:type="dxa"/>
            <w:tcBorders>
              <w:top w:val="single" w:sz="4" w:space="0" w:color="000000"/>
              <w:left w:val="single" w:sz="4" w:space="0" w:color="000000"/>
              <w:bottom w:val="single" w:sz="4" w:space="0" w:color="000000"/>
            </w:tcBorders>
          </w:tcPr>
          <w:p w14:paraId="4B3A66DE" w14:textId="77777777" w:rsidR="0020333E" w:rsidRDefault="0055139F">
            <w:pPr>
              <w:jc w:val="both"/>
              <w:rPr>
                <w:rFonts w:ascii="Bookman Old Style" w:eastAsia="Bookman Old Style" w:hAnsi="Bookman Old Style" w:cs="Bookman Old Style"/>
                <w:b/>
                <w:color w:val="auto"/>
                <w:sz w:val="26"/>
                <w:szCs w:val="26"/>
              </w:rPr>
            </w:pPr>
            <w:r>
              <w:rPr>
                <w:rFonts w:ascii="Bookman Old Style" w:eastAsia="Bookman Old Style" w:hAnsi="Bookman Old Style" w:cs="Bookman Old Style"/>
                <w:b/>
                <w:color w:val="auto"/>
                <w:sz w:val="26"/>
                <w:szCs w:val="26"/>
              </w:rPr>
              <w:t>Expanding sub-sectors</w:t>
            </w:r>
          </w:p>
        </w:tc>
        <w:tc>
          <w:tcPr>
            <w:tcW w:w="1108" w:type="dxa"/>
            <w:tcBorders>
              <w:top w:val="single" w:sz="4" w:space="0" w:color="000000"/>
              <w:bottom w:val="single" w:sz="4" w:space="0" w:color="000000"/>
              <w:right w:val="single" w:sz="4" w:space="0" w:color="000000"/>
            </w:tcBorders>
          </w:tcPr>
          <w:p w14:paraId="1A89290B" w14:textId="77777777" w:rsidR="0020333E" w:rsidRDefault="0020333E">
            <w:pPr>
              <w:jc w:val="both"/>
              <w:rPr>
                <w:rFonts w:ascii="Bookman Old Style" w:eastAsia="Bookman Old Style" w:hAnsi="Bookman Old Style" w:cs="Bookman Old Style"/>
                <w:b/>
                <w:color w:val="auto"/>
                <w:sz w:val="26"/>
                <w:szCs w:val="26"/>
              </w:rPr>
            </w:pPr>
          </w:p>
        </w:tc>
        <w:tc>
          <w:tcPr>
            <w:tcW w:w="3453" w:type="dxa"/>
            <w:gridSpan w:val="2"/>
            <w:tcBorders>
              <w:top w:val="single" w:sz="4" w:space="0" w:color="000000"/>
              <w:left w:val="single" w:sz="4" w:space="0" w:color="000000"/>
              <w:bottom w:val="single" w:sz="4" w:space="0" w:color="000000"/>
            </w:tcBorders>
          </w:tcPr>
          <w:p w14:paraId="1AF84F09" w14:textId="77777777" w:rsidR="0020333E" w:rsidRDefault="0055139F">
            <w:pPr>
              <w:jc w:val="both"/>
              <w:rPr>
                <w:rFonts w:ascii="Bookman Old Style" w:eastAsia="Bookman Old Style" w:hAnsi="Bookman Old Style" w:cs="Bookman Old Style"/>
                <w:b/>
                <w:color w:val="auto"/>
                <w:sz w:val="26"/>
                <w:szCs w:val="26"/>
              </w:rPr>
            </w:pPr>
            <w:r>
              <w:rPr>
                <w:rFonts w:ascii="Bookman Old Style" w:eastAsia="Bookman Old Style" w:hAnsi="Bookman Old Style" w:cs="Bookman Old Style"/>
                <w:b/>
                <w:color w:val="auto"/>
                <w:sz w:val="26"/>
                <w:szCs w:val="26"/>
              </w:rPr>
              <w:t>Contracting sub-sectors</w:t>
            </w:r>
          </w:p>
        </w:tc>
      </w:tr>
      <w:tr w:rsidR="0020333E" w14:paraId="42F091C3" w14:textId="77777777" w:rsidTr="00703FA5">
        <w:trPr>
          <w:trHeight w:val="1610"/>
        </w:trPr>
        <w:tc>
          <w:tcPr>
            <w:tcW w:w="1534" w:type="dxa"/>
            <w:tcBorders>
              <w:top w:val="single" w:sz="4" w:space="0" w:color="000000"/>
              <w:bottom w:val="single" w:sz="4" w:space="0" w:color="000000"/>
              <w:right w:val="single" w:sz="4" w:space="0" w:color="000000"/>
            </w:tcBorders>
          </w:tcPr>
          <w:p w14:paraId="74ED58B6" w14:textId="77777777" w:rsidR="0020333E" w:rsidRDefault="0020333E">
            <w:pPr>
              <w:jc w:val="both"/>
              <w:rPr>
                <w:rFonts w:ascii="Bookman Old Style" w:eastAsia="Bookman Old Style" w:hAnsi="Bookman Old Style" w:cs="Bookman Old Style"/>
                <w:color w:val="auto"/>
                <w:sz w:val="22"/>
                <w:szCs w:val="22"/>
              </w:rPr>
            </w:pPr>
          </w:p>
          <w:p w14:paraId="507138C6" w14:textId="77777777" w:rsidR="0020333E" w:rsidRDefault="0055139F">
            <w:pPr>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Agriculture</w:t>
            </w:r>
          </w:p>
          <w:p w14:paraId="229BEB1C" w14:textId="77777777" w:rsidR="0020333E" w:rsidRDefault="0055139F">
            <w:pPr>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(1.0%)</w:t>
            </w:r>
          </w:p>
          <w:p w14:paraId="52974938" w14:textId="77777777" w:rsidR="0020333E" w:rsidRDefault="0020333E">
            <w:pPr>
              <w:rPr>
                <w:rFonts w:ascii="Bookman Old Style" w:eastAsia="Bookman Old Style" w:hAnsi="Bookman Old Style" w:cs="Bookman Old Style"/>
                <w:sz w:val="22"/>
                <w:szCs w:val="22"/>
              </w:rPr>
            </w:pPr>
          </w:p>
        </w:tc>
        <w:tc>
          <w:tcPr>
            <w:tcW w:w="3638" w:type="dxa"/>
            <w:tcBorders>
              <w:top w:val="single" w:sz="4" w:space="0" w:color="000000"/>
              <w:left w:val="single" w:sz="4" w:space="0" w:color="000000"/>
              <w:bottom w:val="single" w:sz="4" w:space="0" w:color="000000"/>
            </w:tcBorders>
          </w:tcPr>
          <w:p w14:paraId="46C45F36" w14:textId="77777777"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Livestock</w:t>
            </w:r>
          </w:p>
          <w:p w14:paraId="768575BA" w14:textId="77777777" w:rsidR="0020333E" w:rsidRDefault="0020333E">
            <w:pPr>
              <w:rPr>
                <w:rFonts w:ascii="Bookman Old Style" w:eastAsia="Bookman Old Style" w:hAnsi="Bookman Old Style" w:cs="Bookman Old Style"/>
                <w:sz w:val="22"/>
                <w:szCs w:val="22"/>
              </w:rPr>
            </w:pPr>
          </w:p>
          <w:p w14:paraId="3E92186E" w14:textId="77777777" w:rsidR="00703FA5" w:rsidRDefault="00703FA5">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Crops and Cocoa </w:t>
            </w:r>
          </w:p>
          <w:p w14:paraId="33CD03EC" w14:textId="77777777" w:rsidR="00703FA5" w:rsidRDefault="00703FA5">
            <w:pPr>
              <w:rPr>
                <w:rFonts w:ascii="Bookman Old Style" w:eastAsia="Bookman Old Style" w:hAnsi="Bookman Old Style" w:cs="Bookman Old Style"/>
                <w:sz w:val="22"/>
                <w:szCs w:val="22"/>
              </w:rPr>
            </w:pPr>
          </w:p>
          <w:p w14:paraId="1A471D48" w14:textId="6C9C3E24" w:rsidR="00703FA5" w:rsidRPr="00703FA5" w:rsidRDefault="0055139F" w:rsidP="00703FA5">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Forestry &amp; Logging</w:t>
            </w:r>
          </w:p>
        </w:tc>
        <w:tc>
          <w:tcPr>
            <w:tcW w:w="1108" w:type="dxa"/>
            <w:tcBorders>
              <w:top w:val="single" w:sz="4" w:space="0" w:color="000000"/>
              <w:bottom w:val="single" w:sz="4" w:space="0" w:color="000000"/>
              <w:right w:val="single" w:sz="4" w:space="0" w:color="000000"/>
            </w:tcBorders>
          </w:tcPr>
          <w:p w14:paraId="353B0C41" w14:textId="0E1BEBD4" w:rsidR="0020333E" w:rsidRDefault="00703FA5">
            <w:pPr>
              <w:spacing w:line="480" w:lineRule="auto"/>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1.7</w:t>
            </w:r>
            <w:r w:rsidR="0055139F">
              <w:rPr>
                <w:rFonts w:ascii="Bookman Old Style" w:eastAsia="Bookman Old Style" w:hAnsi="Bookman Old Style" w:cs="Bookman Old Style"/>
                <w:color w:val="auto"/>
                <w:sz w:val="22"/>
                <w:szCs w:val="22"/>
              </w:rPr>
              <w:t>%</w:t>
            </w:r>
          </w:p>
          <w:p w14:paraId="3551DCD3" w14:textId="101584C3" w:rsidR="0020333E" w:rsidRDefault="00703FA5">
            <w:pPr>
              <w:spacing w:line="480" w:lineRule="auto"/>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1.0</w:t>
            </w:r>
            <w:r w:rsidR="0055139F">
              <w:rPr>
                <w:rFonts w:ascii="Bookman Old Style" w:eastAsia="Bookman Old Style" w:hAnsi="Bookman Old Style" w:cs="Bookman Old Style"/>
                <w:sz w:val="22"/>
                <w:szCs w:val="22"/>
              </w:rPr>
              <w:t>%</w:t>
            </w:r>
          </w:p>
          <w:p w14:paraId="04646BFA" w14:textId="25FB73B1" w:rsidR="0020333E" w:rsidRPr="00703FA5" w:rsidRDefault="00703FA5">
            <w:pPr>
              <w:spacing w:line="480" w:lineRule="auto"/>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0.7</w:t>
            </w:r>
            <w:r w:rsidR="0055139F">
              <w:rPr>
                <w:rFonts w:ascii="Bookman Old Style" w:eastAsia="Bookman Old Style" w:hAnsi="Bookman Old Style" w:cs="Bookman Old Style"/>
                <w:sz w:val="22"/>
                <w:szCs w:val="22"/>
              </w:rPr>
              <w:t>%</w:t>
            </w:r>
          </w:p>
        </w:tc>
        <w:tc>
          <w:tcPr>
            <w:tcW w:w="2426" w:type="dxa"/>
            <w:tcBorders>
              <w:top w:val="single" w:sz="4" w:space="0" w:color="000000"/>
              <w:left w:val="single" w:sz="4" w:space="0" w:color="000000"/>
              <w:bottom w:val="single" w:sz="4" w:space="0" w:color="000000"/>
            </w:tcBorders>
          </w:tcPr>
          <w:p w14:paraId="1B8EFFA2" w14:textId="404E2565" w:rsidR="0020333E" w:rsidRDefault="00703FA5">
            <w:pPr>
              <w:spacing w:line="360" w:lineRule="auto"/>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sz w:val="22"/>
                <w:szCs w:val="22"/>
              </w:rPr>
              <w:t>Fishing</w:t>
            </w:r>
          </w:p>
          <w:p w14:paraId="57F1AAF7" w14:textId="77777777" w:rsidR="0020333E" w:rsidRDefault="0020333E">
            <w:pPr>
              <w:spacing w:line="360" w:lineRule="auto"/>
              <w:jc w:val="both"/>
              <w:rPr>
                <w:rFonts w:ascii="Bookman Old Style" w:eastAsia="Bookman Old Style" w:hAnsi="Bookman Old Style" w:cs="Bookman Old Style"/>
                <w:color w:val="auto"/>
                <w:sz w:val="22"/>
                <w:szCs w:val="22"/>
              </w:rPr>
            </w:pPr>
          </w:p>
          <w:p w14:paraId="6D3899A6" w14:textId="7EFCA06E" w:rsidR="00703FA5" w:rsidRPr="00703FA5" w:rsidRDefault="00703FA5" w:rsidP="00703FA5">
            <w:pPr>
              <w:rPr>
                <w:rFonts w:ascii="Bookman Old Style" w:eastAsia="Bookman Old Style" w:hAnsi="Bookman Old Style" w:cs="Bookman Old Style"/>
                <w:sz w:val="22"/>
                <w:szCs w:val="22"/>
              </w:rPr>
            </w:pPr>
          </w:p>
        </w:tc>
        <w:tc>
          <w:tcPr>
            <w:tcW w:w="1026" w:type="dxa"/>
            <w:tcBorders>
              <w:top w:val="single" w:sz="4" w:space="0" w:color="000000"/>
              <w:bottom w:val="single" w:sz="4" w:space="0" w:color="000000"/>
            </w:tcBorders>
          </w:tcPr>
          <w:p w14:paraId="2F6B5FEE" w14:textId="440CA299" w:rsidR="0020333E" w:rsidRDefault="0055139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r w:rsidR="00703FA5">
              <w:rPr>
                <w:rFonts w:ascii="Bookman Old Style" w:eastAsia="Bookman Old Style" w:hAnsi="Bookman Old Style" w:cs="Bookman Old Style"/>
                <w:color w:val="auto"/>
                <w:sz w:val="22"/>
                <w:szCs w:val="22"/>
              </w:rPr>
              <w:t>-0.4%</w:t>
            </w:r>
          </w:p>
          <w:p w14:paraId="454BF338" w14:textId="77777777" w:rsidR="0020333E" w:rsidRDefault="0020333E">
            <w:pPr>
              <w:jc w:val="both"/>
              <w:rPr>
                <w:rFonts w:ascii="Bookman Old Style" w:eastAsia="Bookman Old Style" w:hAnsi="Bookman Old Style" w:cs="Bookman Old Style"/>
                <w:color w:val="auto"/>
                <w:sz w:val="22"/>
                <w:szCs w:val="22"/>
              </w:rPr>
            </w:pPr>
          </w:p>
          <w:p w14:paraId="0DBE894F" w14:textId="77777777" w:rsidR="0020333E" w:rsidRDefault="0020333E">
            <w:pPr>
              <w:jc w:val="both"/>
              <w:rPr>
                <w:rFonts w:ascii="Bookman Old Style" w:eastAsia="Bookman Old Style" w:hAnsi="Bookman Old Style" w:cs="Bookman Old Style"/>
                <w:color w:val="auto"/>
                <w:sz w:val="22"/>
                <w:szCs w:val="22"/>
              </w:rPr>
            </w:pPr>
          </w:p>
          <w:p w14:paraId="61A646A2" w14:textId="77777777" w:rsidR="0020333E" w:rsidRDefault="0020333E">
            <w:pPr>
              <w:jc w:val="both"/>
              <w:rPr>
                <w:rFonts w:ascii="Bookman Old Style" w:eastAsia="Bookman Old Style" w:hAnsi="Bookman Old Style" w:cs="Bookman Old Style"/>
                <w:color w:val="auto"/>
                <w:sz w:val="22"/>
                <w:szCs w:val="22"/>
              </w:rPr>
            </w:pPr>
          </w:p>
        </w:tc>
      </w:tr>
      <w:tr w:rsidR="0020333E" w14:paraId="2A0FBC3E" w14:textId="77777777" w:rsidTr="006C2863">
        <w:trPr>
          <w:trHeight w:val="868"/>
        </w:trPr>
        <w:tc>
          <w:tcPr>
            <w:tcW w:w="1534" w:type="dxa"/>
            <w:tcBorders>
              <w:top w:val="single" w:sz="4" w:space="0" w:color="000000"/>
              <w:bottom w:val="single" w:sz="4" w:space="0" w:color="000000"/>
              <w:right w:val="single" w:sz="4" w:space="0" w:color="000000"/>
            </w:tcBorders>
          </w:tcPr>
          <w:p w14:paraId="2214C8AC" w14:textId="77777777" w:rsidR="0020333E" w:rsidRDefault="0020333E">
            <w:pPr>
              <w:jc w:val="both"/>
              <w:rPr>
                <w:rFonts w:ascii="Bookman Old Style" w:eastAsia="Bookman Old Style" w:hAnsi="Bookman Old Style" w:cs="Bookman Old Style"/>
                <w:color w:val="auto"/>
                <w:sz w:val="22"/>
                <w:szCs w:val="22"/>
              </w:rPr>
            </w:pPr>
          </w:p>
          <w:p w14:paraId="1263385E" w14:textId="77777777" w:rsidR="0020333E" w:rsidRDefault="0020333E">
            <w:pPr>
              <w:jc w:val="both"/>
              <w:rPr>
                <w:rFonts w:ascii="Bookman Old Style" w:eastAsia="Bookman Old Style" w:hAnsi="Bookman Old Style" w:cs="Bookman Old Style"/>
                <w:color w:val="auto"/>
                <w:sz w:val="22"/>
                <w:szCs w:val="22"/>
              </w:rPr>
            </w:pPr>
          </w:p>
          <w:p w14:paraId="03762560" w14:textId="77777777" w:rsidR="0020333E" w:rsidRDefault="0020333E">
            <w:pPr>
              <w:jc w:val="both"/>
              <w:rPr>
                <w:rFonts w:ascii="Bookman Old Style" w:eastAsia="Bookman Old Style" w:hAnsi="Bookman Old Style" w:cs="Bookman Old Style"/>
                <w:color w:val="auto"/>
                <w:sz w:val="22"/>
                <w:szCs w:val="22"/>
              </w:rPr>
            </w:pPr>
          </w:p>
          <w:p w14:paraId="66848254" w14:textId="77777777" w:rsidR="0020333E" w:rsidRDefault="0020333E">
            <w:pPr>
              <w:jc w:val="both"/>
              <w:rPr>
                <w:rFonts w:ascii="Bookman Old Style" w:eastAsia="Bookman Old Style" w:hAnsi="Bookman Old Style" w:cs="Bookman Old Style"/>
                <w:color w:val="auto"/>
                <w:sz w:val="22"/>
                <w:szCs w:val="22"/>
              </w:rPr>
            </w:pPr>
          </w:p>
          <w:p w14:paraId="0488C209" w14:textId="02B01685" w:rsidR="0020333E" w:rsidRDefault="0055139F">
            <w:pPr>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Industry     (</w:t>
            </w:r>
            <w:r w:rsidR="00781648">
              <w:rPr>
                <w:rFonts w:ascii="Bookman Old Style" w:eastAsia="Bookman Old Style" w:hAnsi="Bookman Old Style" w:cs="Bookman Old Style"/>
                <w:color w:val="auto"/>
                <w:sz w:val="22"/>
                <w:szCs w:val="22"/>
              </w:rPr>
              <w:t>-</w:t>
            </w:r>
            <w:r>
              <w:rPr>
                <w:rFonts w:ascii="Bookman Old Style" w:eastAsia="Bookman Old Style" w:hAnsi="Bookman Old Style" w:cs="Bookman Old Style"/>
                <w:color w:val="auto"/>
                <w:sz w:val="22"/>
                <w:szCs w:val="22"/>
              </w:rPr>
              <w:t>0.2%)</w:t>
            </w:r>
          </w:p>
        </w:tc>
        <w:tc>
          <w:tcPr>
            <w:tcW w:w="3638" w:type="dxa"/>
            <w:tcBorders>
              <w:top w:val="single" w:sz="4" w:space="0" w:color="000000"/>
              <w:left w:val="single" w:sz="4" w:space="0" w:color="000000"/>
              <w:bottom w:val="single" w:sz="4" w:space="0" w:color="000000"/>
            </w:tcBorders>
          </w:tcPr>
          <w:p w14:paraId="0D888DDE" w14:textId="77777777"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Mining &amp; Quarrying</w:t>
            </w:r>
          </w:p>
          <w:p w14:paraId="4AB732C6" w14:textId="77777777" w:rsidR="0020333E" w:rsidRDefault="0020333E">
            <w:pPr>
              <w:rPr>
                <w:rFonts w:ascii="Bookman Old Style" w:eastAsia="Bookman Old Style" w:hAnsi="Bookman Old Style" w:cs="Bookman Old Style"/>
                <w:color w:val="auto"/>
                <w:sz w:val="22"/>
                <w:szCs w:val="22"/>
              </w:rPr>
            </w:pPr>
          </w:p>
          <w:p w14:paraId="7123A773" w14:textId="77777777" w:rsidR="0020333E" w:rsidRDefault="0020333E">
            <w:pPr>
              <w:rPr>
                <w:rFonts w:ascii="Bookman Old Style" w:eastAsia="Bookman Old Style" w:hAnsi="Bookman Old Style" w:cs="Bookman Old Style"/>
                <w:sz w:val="22"/>
                <w:szCs w:val="22"/>
              </w:rPr>
            </w:pPr>
          </w:p>
        </w:tc>
        <w:tc>
          <w:tcPr>
            <w:tcW w:w="1108" w:type="dxa"/>
            <w:tcBorders>
              <w:top w:val="single" w:sz="4" w:space="0" w:color="000000"/>
              <w:bottom w:val="single" w:sz="4" w:space="0" w:color="000000"/>
              <w:right w:val="single" w:sz="4" w:space="0" w:color="000000"/>
            </w:tcBorders>
          </w:tcPr>
          <w:p w14:paraId="7FDBD897" w14:textId="202D5F34" w:rsidR="0020333E" w:rsidRDefault="0055139F">
            <w:pPr>
              <w:spacing w:line="276" w:lineRule="auto"/>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3.</w:t>
            </w:r>
            <w:r w:rsidR="00E42D13">
              <w:rPr>
                <w:rFonts w:ascii="Bookman Old Style" w:eastAsia="Bookman Old Style" w:hAnsi="Bookman Old Style" w:cs="Bookman Old Style"/>
                <w:sz w:val="22"/>
                <w:szCs w:val="22"/>
              </w:rPr>
              <w:t>2</w:t>
            </w:r>
            <w:r>
              <w:rPr>
                <w:rFonts w:ascii="Bookman Old Style" w:eastAsia="Bookman Old Style" w:hAnsi="Bookman Old Style" w:cs="Bookman Old Style"/>
                <w:sz w:val="22"/>
                <w:szCs w:val="22"/>
              </w:rPr>
              <w:t>%</w:t>
            </w:r>
          </w:p>
          <w:p w14:paraId="301115C3" w14:textId="77777777" w:rsidR="0020333E" w:rsidRDefault="0020333E">
            <w:pPr>
              <w:spacing w:line="276" w:lineRule="auto"/>
              <w:rPr>
                <w:rFonts w:ascii="Bookman Old Style" w:eastAsia="Bookman Old Style" w:hAnsi="Bookman Old Style" w:cs="Bookman Old Style"/>
                <w:sz w:val="22"/>
                <w:szCs w:val="22"/>
              </w:rPr>
            </w:pPr>
          </w:p>
          <w:p w14:paraId="1A7CABE4" w14:textId="77777777" w:rsidR="0020333E" w:rsidRDefault="0020333E">
            <w:pPr>
              <w:spacing w:line="276" w:lineRule="auto"/>
              <w:rPr>
                <w:rFonts w:ascii="Bookman Old Style" w:eastAsia="Bookman Old Style" w:hAnsi="Bookman Old Style" w:cs="Bookman Old Style"/>
                <w:sz w:val="22"/>
                <w:szCs w:val="22"/>
              </w:rPr>
            </w:pPr>
          </w:p>
        </w:tc>
        <w:tc>
          <w:tcPr>
            <w:tcW w:w="2426" w:type="dxa"/>
            <w:tcBorders>
              <w:top w:val="single" w:sz="4" w:space="0" w:color="000000"/>
              <w:left w:val="single" w:sz="4" w:space="0" w:color="000000"/>
              <w:bottom w:val="single" w:sz="4" w:space="0" w:color="000000"/>
            </w:tcBorders>
          </w:tcPr>
          <w:p w14:paraId="5689E940" w14:textId="21BD7E22" w:rsidR="00E42D13" w:rsidRDefault="00E42D13">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Water Supply, Sewerage, Waste Management &amp; Remediation Activities</w:t>
            </w:r>
          </w:p>
          <w:p w14:paraId="4FA898AC" w14:textId="6AA2544C" w:rsidR="00E42D13" w:rsidRDefault="00E42D13" w:rsidP="00E42D13">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p>
          <w:p w14:paraId="4168F6BF" w14:textId="4EACA0FB" w:rsidR="00E42D13" w:rsidRDefault="00E42D13" w:rsidP="00E42D13">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Electricity                        </w:t>
            </w:r>
          </w:p>
          <w:p w14:paraId="01320828" w14:textId="77777777" w:rsidR="00E42D13" w:rsidRDefault="00E42D13">
            <w:pPr>
              <w:rPr>
                <w:rFonts w:ascii="Bookman Old Style" w:eastAsia="Bookman Old Style" w:hAnsi="Bookman Old Style" w:cs="Bookman Old Style"/>
                <w:color w:val="auto"/>
                <w:sz w:val="22"/>
                <w:szCs w:val="22"/>
              </w:rPr>
            </w:pPr>
          </w:p>
          <w:p w14:paraId="3BDAF955" w14:textId="5D402756"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Manufacturing</w:t>
            </w:r>
          </w:p>
          <w:p w14:paraId="5A9C11DC" w14:textId="77777777" w:rsidR="0020333E" w:rsidRDefault="0020333E">
            <w:pPr>
              <w:rPr>
                <w:rFonts w:ascii="Bookman Old Style" w:eastAsia="Bookman Old Style" w:hAnsi="Bookman Old Style" w:cs="Bookman Old Style"/>
                <w:color w:val="auto"/>
                <w:sz w:val="22"/>
                <w:szCs w:val="22"/>
              </w:rPr>
            </w:pPr>
          </w:p>
          <w:p w14:paraId="306618EA" w14:textId="77777777" w:rsidR="0020333E" w:rsidRDefault="0020333E">
            <w:pPr>
              <w:rPr>
                <w:rFonts w:ascii="Bookman Old Style" w:eastAsia="Bookman Old Style" w:hAnsi="Bookman Old Style" w:cs="Bookman Old Style"/>
                <w:color w:val="auto"/>
                <w:sz w:val="22"/>
                <w:szCs w:val="22"/>
              </w:rPr>
            </w:pPr>
          </w:p>
          <w:p w14:paraId="57D68360" w14:textId="77777777"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Construction </w:t>
            </w:r>
          </w:p>
          <w:p w14:paraId="71D339E1" w14:textId="5774EB10"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                                   </w:t>
            </w:r>
          </w:p>
        </w:tc>
        <w:tc>
          <w:tcPr>
            <w:tcW w:w="1026" w:type="dxa"/>
            <w:tcBorders>
              <w:top w:val="single" w:sz="4" w:space="0" w:color="000000"/>
              <w:bottom w:val="single" w:sz="4" w:space="0" w:color="000000"/>
            </w:tcBorders>
          </w:tcPr>
          <w:p w14:paraId="24F5C32E" w14:textId="77777777" w:rsidR="00E42D13" w:rsidRDefault="0055139F" w:rsidP="00E42D13">
            <w:pPr>
              <w:tabs>
                <w:tab w:val="left" w:pos="768"/>
              </w:tabs>
              <w:spacing w:line="360" w:lineRule="auto"/>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p w14:paraId="529A8C3E" w14:textId="3FE52B3B" w:rsidR="0020333E" w:rsidRDefault="0055139F" w:rsidP="00E42D13">
            <w:pPr>
              <w:tabs>
                <w:tab w:val="left" w:pos="768"/>
              </w:tabs>
              <w:spacing w:line="360" w:lineRule="auto"/>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w:t>
            </w:r>
            <w:r w:rsidR="00E42D13">
              <w:rPr>
                <w:rFonts w:ascii="Bookman Old Style" w:eastAsia="Bookman Old Style" w:hAnsi="Bookman Old Style" w:cs="Bookman Old Style"/>
                <w:sz w:val="22"/>
                <w:szCs w:val="22"/>
              </w:rPr>
              <w:t>4.1</w:t>
            </w:r>
            <w:r>
              <w:rPr>
                <w:rFonts w:ascii="Bookman Old Style" w:eastAsia="Bookman Old Style" w:hAnsi="Bookman Old Style" w:cs="Bookman Old Style"/>
                <w:sz w:val="22"/>
                <w:szCs w:val="22"/>
              </w:rPr>
              <w:t>%</w:t>
            </w:r>
          </w:p>
          <w:p w14:paraId="0E031798" w14:textId="77777777" w:rsidR="0020333E" w:rsidRDefault="0020333E">
            <w:pPr>
              <w:rPr>
                <w:rFonts w:ascii="Bookman Old Style" w:eastAsia="Bookman Old Style" w:hAnsi="Bookman Old Style" w:cs="Bookman Old Style"/>
                <w:sz w:val="22"/>
                <w:szCs w:val="22"/>
              </w:rPr>
            </w:pPr>
          </w:p>
          <w:p w14:paraId="008251A2" w14:textId="77777777" w:rsidR="00E42D13" w:rsidRDefault="00E42D13">
            <w:pPr>
              <w:rPr>
                <w:rFonts w:ascii="Bookman Old Style" w:eastAsia="Bookman Old Style" w:hAnsi="Bookman Old Style" w:cs="Bookman Old Style"/>
                <w:sz w:val="22"/>
                <w:szCs w:val="22"/>
              </w:rPr>
            </w:pPr>
          </w:p>
          <w:p w14:paraId="00C5878E" w14:textId="77777777" w:rsidR="00E42D13" w:rsidRDefault="00E42D13">
            <w:pPr>
              <w:rPr>
                <w:rFonts w:ascii="Bookman Old Style" w:eastAsia="Bookman Old Style" w:hAnsi="Bookman Old Style" w:cs="Bookman Old Style"/>
                <w:sz w:val="22"/>
                <w:szCs w:val="22"/>
              </w:rPr>
            </w:pPr>
          </w:p>
          <w:p w14:paraId="403EB756" w14:textId="77777777" w:rsidR="0020333E" w:rsidRDefault="00E42D13">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w:t>
            </w:r>
            <w:r w:rsidR="00BB18AA">
              <w:rPr>
                <w:rFonts w:ascii="Bookman Old Style" w:eastAsia="Bookman Old Style" w:hAnsi="Bookman Old Style" w:cs="Bookman Old Style"/>
                <w:color w:val="auto"/>
                <w:sz w:val="22"/>
                <w:szCs w:val="22"/>
              </w:rPr>
              <w:t>3.4%</w:t>
            </w:r>
          </w:p>
          <w:p w14:paraId="0B520081" w14:textId="77777777" w:rsidR="00BB18AA" w:rsidRDefault="00BB18AA" w:rsidP="00BB18AA">
            <w:pPr>
              <w:rPr>
                <w:rFonts w:ascii="Bookman Old Style" w:eastAsia="Bookman Old Style" w:hAnsi="Bookman Old Style" w:cs="Bookman Old Style"/>
                <w:color w:val="auto"/>
                <w:sz w:val="22"/>
                <w:szCs w:val="22"/>
              </w:rPr>
            </w:pPr>
          </w:p>
          <w:p w14:paraId="08155E86" w14:textId="77777777" w:rsidR="00BB18AA" w:rsidRDefault="00BB18AA" w:rsidP="00BB18AA">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-2.5%</w:t>
            </w:r>
          </w:p>
          <w:p w14:paraId="15ACFCA3" w14:textId="77777777" w:rsidR="00BB18AA" w:rsidRPr="00BB18AA" w:rsidRDefault="00BB18AA" w:rsidP="00BB18AA">
            <w:pPr>
              <w:rPr>
                <w:rFonts w:ascii="Bookman Old Style" w:eastAsia="Bookman Old Style" w:hAnsi="Bookman Old Style" w:cs="Bookman Old Style"/>
                <w:sz w:val="22"/>
                <w:szCs w:val="22"/>
              </w:rPr>
            </w:pPr>
          </w:p>
          <w:p w14:paraId="397B5163" w14:textId="77777777" w:rsidR="00BB18AA" w:rsidRDefault="00BB18AA" w:rsidP="00BB18AA">
            <w:pPr>
              <w:rPr>
                <w:rFonts w:ascii="Bookman Old Style" w:eastAsia="Bookman Old Style" w:hAnsi="Bookman Old Style" w:cs="Bookman Old Style"/>
                <w:sz w:val="22"/>
                <w:szCs w:val="22"/>
              </w:rPr>
            </w:pPr>
          </w:p>
          <w:p w14:paraId="65C74E32" w14:textId="26DBABB3" w:rsidR="00BB18AA" w:rsidRPr="00BB18AA" w:rsidRDefault="00BB18AA" w:rsidP="00BB18AA">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-1.8%</w:t>
            </w:r>
          </w:p>
        </w:tc>
      </w:tr>
      <w:tr w:rsidR="0020333E" w14:paraId="5928BD80" w14:textId="77777777" w:rsidTr="006C2863">
        <w:trPr>
          <w:trHeight w:val="3945"/>
        </w:trPr>
        <w:tc>
          <w:tcPr>
            <w:tcW w:w="1534" w:type="dxa"/>
            <w:tcBorders>
              <w:top w:val="single" w:sz="4" w:space="0" w:color="000000"/>
              <w:bottom w:val="single" w:sz="4" w:space="0" w:color="000000"/>
              <w:right w:val="single" w:sz="4" w:space="0" w:color="000000"/>
            </w:tcBorders>
          </w:tcPr>
          <w:p w14:paraId="38B55577" w14:textId="77777777" w:rsidR="0020333E" w:rsidRDefault="0020333E">
            <w:pPr>
              <w:jc w:val="both"/>
              <w:rPr>
                <w:rFonts w:ascii="Bookman Old Style" w:eastAsia="Bookman Old Style" w:hAnsi="Bookman Old Style" w:cs="Bookman Old Style"/>
                <w:color w:val="auto"/>
                <w:sz w:val="22"/>
                <w:szCs w:val="22"/>
              </w:rPr>
            </w:pPr>
          </w:p>
          <w:p w14:paraId="1F9C7FE3" w14:textId="77777777" w:rsidR="0020333E" w:rsidRDefault="0020333E">
            <w:pPr>
              <w:jc w:val="both"/>
              <w:rPr>
                <w:rFonts w:ascii="Bookman Old Style" w:eastAsia="Bookman Old Style" w:hAnsi="Bookman Old Style" w:cs="Bookman Old Style"/>
                <w:color w:val="auto"/>
                <w:sz w:val="22"/>
                <w:szCs w:val="22"/>
              </w:rPr>
            </w:pPr>
          </w:p>
          <w:p w14:paraId="51E2F025" w14:textId="77777777" w:rsidR="0020333E" w:rsidRDefault="0020333E">
            <w:pPr>
              <w:jc w:val="both"/>
              <w:rPr>
                <w:rFonts w:ascii="Bookman Old Style" w:eastAsia="Bookman Old Style" w:hAnsi="Bookman Old Style" w:cs="Bookman Old Style"/>
                <w:color w:val="auto"/>
                <w:sz w:val="22"/>
                <w:szCs w:val="22"/>
              </w:rPr>
            </w:pPr>
          </w:p>
          <w:p w14:paraId="0A239CA1" w14:textId="77777777" w:rsidR="0020333E" w:rsidRDefault="0020333E">
            <w:pPr>
              <w:jc w:val="both"/>
              <w:rPr>
                <w:rFonts w:ascii="Bookman Old Style" w:eastAsia="Bookman Old Style" w:hAnsi="Bookman Old Style" w:cs="Bookman Old Style"/>
                <w:color w:val="auto"/>
                <w:sz w:val="22"/>
                <w:szCs w:val="22"/>
              </w:rPr>
            </w:pPr>
          </w:p>
          <w:p w14:paraId="133C7028" w14:textId="77777777" w:rsidR="0020333E" w:rsidRDefault="0020333E">
            <w:pPr>
              <w:jc w:val="both"/>
              <w:rPr>
                <w:rFonts w:ascii="Bookman Old Style" w:eastAsia="Bookman Old Style" w:hAnsi="Bookman Old Style" w:cs="Bookman Old Style"/>
                <w:color w:val="auto"/>
                <w:sz w:val="22"/>
                <w:szCs w:val="22"/>
              </w:rPr>
            </w:pPr>
          </w:p>
          <w:p w14:paraId="10A773B1" w14:textId="77777777" w:rsidR="0020333E" w:rsidRDefault="0020333E">
            <w:pPr>
              <w:jc w:val="both"/>
              <w:rPr>
                <w:rFonts w:ascii="Bookman Old Style" w:eastAsia="Bookman Old Style" w:hAnsi="Bookman Old Style" w:cs="Bookman Old Style"/>
                <w:color w:val="auto"/>
                <w:sz w:val="22"/>
                <w:szCs w:val="22"/>
              </w:rPr>
            </w:pPr>
          </w:p>
          <w:p w14:paraId="030E19E2" w14:textId="77777777" w:rsidR="0020333E" w:rsidRDefault="0020333E">
            <w:pPr>
              <w:jc w:val="both"/>
              <w:rPr>
                <w:rFonts w:ascii="Bookman Old Style" w:eastAsia="Bookman Old Style" w:hAnsi="Bookman Old Style" w:cs="Bookman Old Style"/>
                <w:color w:val="auto"/>
                <w:sz w:val="22"/>
                <w:szCs w:val="22"/>
              </w:rPr>
            </w:pPr>
          </w:p>
          <w:p w14:paraId="4F0398A4" w14:textId="77777777" w:rsidR="0020333E" w:rsidRDefault="0020333E">
            <w:pPr>
              <w:jc w:val="both"/>
              <w:rPr>
                <w:rFonts w:ascii="Bookman Old Style" w:eastAsia="Bookman Old Style" w:hAnsi="Bookman Old Style" w:cs="Bookman Old Style"/>
                <w:color w:val="auto"/>
                <w:sz w:val="22"/>
                <w:szCs w:val="22"/>
              </w:rPr>
            </w:pPr>
          </w:p>
          <w:p w14:paraId="5803A57E" w14:textId="77777777" w:rsidR="0020333E" w:rsidRDefault="0020333E">
            <w:pPr>
              <w:jc w:val="both"/>
              <w:rPr>
                <w:rFonts w:ascii="Bookman Old Style" w:eastAsia="Bookman Old Style" w:hAnsi="Bookman Old Style" w:cs="Bookman Old Style"/>
                <w:color w:val="auto"/>
                <w:sz w:val="22"/>
                <w:szCs w:val="22"/>
              </w:rPr>
            </w:pPr>
          </w:p>
          <w:p w14:paraId="1EF0C26B" w14:textId="3C5718FF" w:rsidR="0020333E" w:rsidRDefault="0055139F">
            <w:pPr>
              <w:jc w:val="cente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Services (1.</w:t>
            </w:r>
            <w:r w:rsidR="00775202">
              <w:rPr>
                <w:rFonts w:ascii="Bookman Old Style" w:eastAsia="Bookman Old Style" w:hAnsi="Bookman Old Style" w:cs="Bookman Old Style"/>
                <w:color w:val="auto"/>
                <w:sz w:val="22"/>
                <w:szCs w:val="22"/>
              </w:rPr>
              <w:t>9</w:t>
            </w:r>
            <w:r>
              <w:rPr>
                <w:rFonts w:ascii="Bookman Old Style" w:eastAsia="Bookman Old Style" w:hAnsi="Bookman Old Style" w:cs="Bookman Old Style"/>
                <w:color w:val="auto"/>
                <w:sz w:val="22"/>
                <w:szCs w:val="22"/>
              </w:rPr>
              <w:t>%)</w:t>
            </w:r>
          </w:p>
        </w:tc>
        <w:tc>
          <w:tcPr>
            <w:tcW w:w="3638" w:type="dxa"/>
            <w:tcBorders>
              <w:top w:val="single" w:sz="4" w:space="0" w:color="000000"/>
              <w:left w:val="single" w:sz="4" w:space="0" w:color="000000"/>
              <w:bottom w:val="single" w:sz="4" w:space="0" w:color="000000"/>
            </w:tcBorders>
          </w:tcPr>
          <w:p w14:paraId="155F4F13" w14:textId="77777777" w:rsidR="0020333E" w:rsidRDefault="0055139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Information &amp; Communication</w:t>
            </w:r>
          </w:p>
          <w:p w14:paraId="04695B55" w14:textId="77777777" w:rsidR="0020333E" w:rsidRDefault="0020333E">
            <w:pPr>
              <w:jc w:val="both"/>
              <w:rPr>
                <w:rFonts w:ascii="Bookman Old Style" w:eastAsia="Bookman Old Style" w:hAnsi="Bookman Old Style" w:cs="Bookman Old Style"/>
                <w:color w:val="auto"/>
                <w:sz w:val="22"/>
                <w:szCs w:val="22"/>
              </w:rPr>
            </w:pPr>
          </w:p>
          <w:p w14:paraId="20A7D924" w14:textId="77777777" w:rsidR="00775202" w:rsidRDefault="00775202" w:rsidP="00775202">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Public Administration &amp; </w:t>
            </w:r>
          </w:p>
          <w:p w14:paraId="6241FF9C" w14:textId="34DBEA3B" w:rsidR="00775202" w:rsidRDefault="00775202" w:rsidP="00775202">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Defense, Social Security</w:t>
            </w:r>
          </w:p>
          <w:p w14:paraId="64E621A1" w14:textId="77777777" w:rsidR="00775202" w:rsidRDefault="00775202">
            <w:pPr>
              <w:jc w:val="both"/>
              <w:rPr>
                <w:rFonts w:ascii="Bookman Old Style" w:eastAsia="Bookman Old Style" w:hAnsi="Bookman Old Style" w:cs="Bookman Old Style"/>
                <w:color w:val="auto"/>
                <w:sz w:val="22"/>
                <w:szCs w:val="22"/>
              </w:rPr>
            </w:pPr>
          </w:p>
          <w:p w14:paraId="58E16DAC" w14:textId="51EF503D" w:rsidR="0020333E" w:rsidRDefault="0055139F">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Education</w:t>
            </w:r>
          </w:p>
          <w:p w14:paraId="5B393640" w14:textId="77777777" w:rsidR="0020333E" w:rsidRDefault="0020333E">
            <w:pPr>
              <w:jc w:val="both"/>
              <w:rPr>
                <w:rFonts w:ascii="Bookman Old Style" w:eastAsia="Bookman Old Style" w:hAnsi="Bookman Old Style" w:cs="Bookman Old Style"/>
                <w:color w:val="auto"/>
                <w:sz w:val="22"/>
                <w:szCs w:val="22"/>
              </w:rPr>
            </w:pPr>
          </w:p>
          <w:p w14:paraId="50B966C6" w14:textId="77777777" w:rsidR="00775202" w:rsidRDefault="00775202" w:rsidP="00775202">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Finance &amp; Insurance</w:t>
            </w:r>
          </w:p>
          <w:p w14:paraId="28981771" w14:textId="77777777" w:rsidR="00775202" w:rsidRDefault="00775202">
            <w:pPr>
              <w:rPr>
                <w:rFonts w:ascii="Bookman Old Style" w:eastAsia="Bookman Old Style" w:hAnsi="Bookman Old Style" w:cs="Bookman Old Style"/>
                <w:color w:val="auto"/>
                <w:sz w:val="22"/>
                <w:szCs w:val="22"/>
              </w:rPr>
            </w:pPr>
          </w:p>
          <w:p w14:paraId="3CE31C21" w14:textId="73A8AA3F"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Health &amp; Social Work</w:t>
            </w:r>
          </w:p>
          <w:p w14:paraId="6FBAE086" w14:textId="77777777" w:rsidR="0020333E" w:rsidRDefault="0020333E">
            <w:pPr>
              <w:jc w:val="both"/>
              <w:rPr>
                <w:rFonts w:ascii="Bookman Old Style" w:eastAsia="Bookman Old Style" w:hAnsi="Bookman Old Style" w:cs="Bookman Old Style"/>
                <w:color w:val="auto"/>
                <w:sz w:val="22"/>
                <w:szCs w:val="22"/>
              </w:rPr>
            </w:pPr>
          </w:p>
          <w:p w14:paraId="6F4459E8" w14:textId="77777777"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Transport and Storage                </w:t>
            </w:r>
          </w:p>
          <w:p w14:paraId="2C3A0268" w14:textId="77777777" w:rsidR="0020333E" w:rsidRDefault="0020333E">
            <w:pPr>
              <w:jc w:val="both"/>
              <w:rPr>
                <w:rFonts w:ascii="Bookman Old Style" w:eastAsia="Bookman Old Style" w:hAnsi="Bookman Old Style" w:cs="Bookman Old Style"/>
                <w:color w:val="auto"/>
                <w:sz w:val="22"/>
                <w:szCs w:val="22"/>
              </w:rPr>
            </w:pPr>
          </w:p>
          <w:p w14:paraId="5EE28676" w14:textId="4AECD578" w:rsidR="0020333E" w:rsidRDefault="00775202">
            <w:pPr>
              <w:rPr>
                <w:rFonts w:ascii="Bookman Old Style" w:eastAsia="Bookman Old Style" w:hAnsi="Bookman Old Style" w:cs="Bookman Old Style"/>
                <w:sz w:val="22"/>
                <w:szCs w:val="22"/>
              </w:rPr>
            </w:pPr>
            <w:r>
              <w:rPr>
                <w:rFonts w:ascii="Bookman Old Style" w:eastAsia="Bookman Old Style" w:hAnsi="Bookman Old Style" w:cs="Bookman Old Style"/>
                <w:color w:val="auto"/>
                <w:sz w:val="22"/>
                <w:szCs w:val="22"/>
              </w:rPr>
              <w:t>Trade; Repair of Vehicles, Household Goods</w:t>
            </w:r>
          </w:p>
          <w:p w14:paraId="33BCF4FD" w14:textId="77777777" w:rsidR="0020333E" w:rsidRDefault="0020333E">
            <w:pPr>
              <w:rPr>
                <w:rFonts w:ascii="Bookman Old Style" w:eastAsia="Bookman Old Style" w:hAnsi="Bookman Old Style" w:cs="Bookman Old Style"/>
                <w:sz w:val="22"/>
                <w:szCs w:val="22"/>
              </w:rPr>
            </w:pPr>
          </w:p>
          <w:p w14:paraId="0E2241DF" w14:textId="77777777" w:rsidR="00775202" w:rsidRDefault="00775202" w:rsidP="00775202">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Hotels &amp; Restaurants</w:t>
            </w:r>
          </w:p>
          <w:p w14:paraId="508BCD17" w14:textId="77777777" w:rsidR="00775202" w:rsidRDefault="00775202" w:rsidP="00775202">
            <w:pPr>
              <w:rPr>
                <w:rFonts w:ascii="Bookman Old Style" w:eastAsia="Bookman Old Style" w:hAnsi="Bookman Old Style" w:cs="Bookman Old Style"/>
                <w:sz w:val="22"/>
                <w:szCs w:val="22"/>
              </w:rPr>
            </w:pPr>
          </w:p>
          <w:p w14:paraId="1940B058" w14:textId="77777777" w:rsidR="00775202" w:rsidRDefault="00775202" w:rsidP="00775202">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Other Personal Service Activities</w:t>
            </w:r>
          </w:p>
          <w:p w14:paraId="0AE02978" w14:textId="77777777" w:rsidR="0020333E" w:rsidRDefault="0020333E">
            <w:pPr>
              <w:rPr>
                <w:rFonts w:ascii="Bookman Old Style" w:eastAsia="Bookman Old Style" w:hAnsi="Bookman Old Style" w:cs="Bookman Old Style"/>
                <w:color w:val="auto"/>
                <w:sz w:val="22"/>
                <w:szCs w:val="22"/>
              </w:rPr>
            </w:pPr>
          </w:p>
        </w:tc>
        <w:tc>
          <w:tcPr>
            <w:tcW w:w="1108" w:type="dxa"/>
            <w:tcBorders>
              <w:top w:val="single" w:sz="4" w:space="0" w:color="000000"/>
              <w:bottom w:val="single" w:sz="4" w:space="0" w:color="000000"/>
              <w:right w:val="single" w:sz="4" w:space="0" w:color="000000"/>
            </w:tcBorders>
          </w:tcPr>
          <w:p w14:paraId="54A3932B" w14:textId="27C68F3E" w:rsidR="0020333E" w:rsidRDefault="00775202">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5</w:t>
            </w:r>
            <w:r w:rsidR="0055139F">
              <w:rPr>
                <w:rFonts w:ascii="Bookman Old Style" w:eastAsia="Bookman Old Style" w:hAnsi="Bookman Old Style" w:cs="Bookman Old Style"/>
                <w:sz w:val="22"/>
                <w:szCs w:val="22"/>
              </w:rPr>
              <w:t>.0%</w:t>
            </w:r>
          </w:p>
          <w:p w14:paraId="2251C9C4" w14:textId="77777777" w:rsidR="0020333E" w:rsidRDefault="0020333E">
            <w:pPr>
              <w:rPr>
                <w:rFonts w:ascii="Bookman Old Style" w:eastAsia="Bookman Old Style" w:hAnsi="Bookman Old Style" w:cs="Bookman Old Style"/>
                <w:sz w:val="22"/>
                <w:szCs w:val="22"/>
              </w:rPr>
            </w:pPr>
          </w:p>
          <w:p w14:paraId="36B62252" w14:textId="7B359703" w:rsidR="0020333E" w:rsidRDefault="00775202">
            <w:pPr>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3.7</w:t>
            </w:r>
            <w:r w:rsidR="0055139F">
              <w:rPr>
                <w:rFonts w:ascii="Bookman Old Style" w:eastAsia="Bookman Old Style" w:hAnsi="Bookman Old Style" w:cs="Bookman Old Style"/>
                <w:sz w:val="22"/>
                <w:szCs w:val="22"/>
              </w:rPr>
              <w:t>%</w:t>
            </w:r>
          </w:p>
          <w:p w14:paraId="044F6D86" w14:textId="77777777" w:rsidR="0020333E" w:rsidRDefault="0020333E">
            <w:pPr>
              <w:jc w:val="both"/>
              <w:rPr>
                <w:rFonts w:ascii="Bookman Old Style" w:eastAsia="Bookman Old Style" w:hAnsi="Bookman Old Style" w:cs="Bookman Old Style"/>
                <w:sz w:val="22"/>
                <w:szCs w:val="22"/>
              </w:rPr>
            </w:pPr>
          </w:p>
          <w:p w14:paraId="18670740" w14:textId="77777777" w:rsidR="00775202" w:rsidRDefault="00775202">
            <w:pPr>
              <w:jc w:val="both"/>
              <w:rPr>
                <w:rFonts w:ascii="Bookman Old Style" w:eastAsia="Bookman Old Style" w:hAnsi="Bookman Old Style" w:cs="Bookman Old Style"/>
                <w:sz w:val="22"/>
                <w:szCs w:val="22"/>
              </w:rPr>
            </w:pPr>
          </w:p>
          <w:p w14:paraId="762956F6" w14:textId="1A9BA4C5" w:rsidR="0020333E" w:rsidRDefault="00775202">
            <w:pPr>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3</w:t>
            </w:r>
            <w:r w:rsidR="0055139F">
              <w:rPr>
                <w:rFonts w:ascii="Bookman Old Style" w:eastAsia="Bookman Old Style" w:hAnsi="Bookman Old Style" w:cs="Bookman Old Style"/>
                <w:sz w:val="22"/>
                <w:szCs w:val="22"/>
              </w:rPr>
              <w:t>.</w:t>
            </w:r>
            <w:r>
              <w:rPr>
                <w:rFonts w:ascii="Bookman Old Style" w:eastAsia="Bookman Old Style" w:hAnsi="Bookman Old Style" w:cs="Bookman Old Style"/>
                <w:sz w:val="22"/>
                <w:szCs w:val="22"/>
              </w:rPr>
              <w:t>0</w:t>
            </w:r>
            <w:r w:rsidR="0055139F">
              <w:rPr>
                <w:rFonts w:ascii="Bookman Old Style" w:eastAsia="Bookman Old Style" w:hAnsi="Bookman Old Style" w:cs="Bookman Old Style"/>
                <w:sz w:val="22"/>
                <w:szCs w:val="22"/>
              </w:rPr>
              <w:t>%</w:t>
            </w:r>
          </w:p>
          <w:p w14:paraId="2AFA1ECB" w14:textId="77777777" w:rsidR="0020333E" w:rsidRDefault="0020333E">
            <w:pPr>
              <w:jc w:val="both"/>
              <w:rPr>
                <w:rFonts w:ascii="Bookman Old Style" w:eastAsia="Bookman Old Style" w:hAnsi="Bookman Old Style" w:cs="Bookman Old Style"/>
                <w:sz w:val="22"/>
                <w:szCs w:val="22"/>
              </w:rPr>
            </w:pPr>
          </w:p>
          <w:p w14:paraId="30BCC305" w14:textId="75E1F225" w:rsidR="00775202" w:rsidRDefault="00775202">
            <w:pPr>
              <w:jc w:val="both"/>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2.4%</w:t>
            </w:r>
          </w:p>
          <w:p w14:paraId="104C3677" w14:textId="77777777" w:rsidR="00775202" w:rsidRDefault="00775202">
            <w:pPr>
              <w:jc w:val="both"/>
              <w:rPr>
                <w:rFonts w:ascii="Bookman Old Style" w:eastAsia="Bookman Old Style" w:hAnsi="Bookman Old Style" w:cs="Bookman Old Style"/>
                <w:sz w:val="22"/>
                <w:szCs w:val="22"/>
              </w:rPr>
            </w:pPr>
          </w:p>
          <w:p w14:paraId="587C1C4C" w14:textId="54926C29" w:rsidR="0020333E" w:rsidRDefault="00775202">
            <w:pPr>
              <w:jc w:val="both"/>
              <w:rPr>
                <w:rFonts w:ascii="Bookman Old Style" w:eastAsia="Bookman Old Style" w:hAnsi="Bookman Old Style" w:cs="Bookman Old Style"/>
                <w:color w:val="auto"/>
                <w:sz w:val="22"/>
                <w:szCs w:val="22"/>
              </w:rPr>
            </w:pPr>
            <w:r>
              <w:rPr>
                <w:rFonts w:ascii="Bookman Old Style" w:eastAsia="Bookman Old Style" w:hAnsi="Bookman Old Style" w:cs="Bookman Old Style"/>
                <w:sz w:val="22"/>
                <w:szCs w:val="22"/>
              </w:rPr>
              <w:t>2.2</w:t>
            </w:r>
            <w:r w:rsidR="0055139F">
              <w:rPr>
                <w:rFonts w:ascii="Bookman Old Style" w:eastAsia="Bookman Old Style" w:hAnsi="Bookman Old Style" w:cs="Bookman Old Style"/>
                <w:sz w:val="22"/>
                <w:szCs w:val="22"/>
              </w:rPr>
              <w:t>%</w:t>
            </w:r>
          </w:p>
          <w:p w14:paraId="2C56858C" w14:textId="77777777" w:rsidR="0020333E" w:rsidRDefault="0020333E">
            <w:pPr>
              <w:jc w:val="both"/>
              <w:rPr>
                <w:rFonts w:ascii="Bookman Old Style" w:eastAsia="Bookman Old Style" w:hAnsi="Bookman Old Style" w:cs="Bookman Old Style"/>
                <w:color w:val="auto"/>
                <w:sz w:val="22"/>
                <w:szCs w:val="22"/>
              </w:rPr>
            </w:pPr>
          </w:p>
          <w:p w14:paraId="66795C2A" w14:textId="1F0ABBE1"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1.</w:t>
            </w:r>
            <w:r w:rsidR="00775202">
              <w:rPr>
                <w:rFonts w:ascii="Bookman Old Style" w:eastAsia="Bookman Old Style" w:hAnsi="Bookman Old Style" w:cs="Bookman Old Style"/>
                <w:sz w:val="22"/>
                <w:szCs w:val="22"/>
              </w:rPr>
              <w:t>0</w:t>
            </w:r>
            <w:r>
              <w:rPr>
                <w:rFonts w:ascii="Bookman Old Style" w:eastAsia="Bookman Old Style" w:hAnsi="Bookman Old Style" w:cs="Bookman Old Style"/>
                <w:sz w:val="22"/>
                <w:szCs w:val="22"/>
              </w:rPr>
              <w:t>%</w:t>
            </w:r>
          </w:p>
          <w:p w14:paraId="58D19EE2" w14:textId="77777777" w:rsidR="0020333E" w:rsidRDefault="0020333E">
            <w:pPr>
              <w:rPr>
                <w:rFonts w:ascii="Bookman Old Style" w:eastAsia="Bookman Old Style" w:hAnsi="Bookman Old Style" w:cs="Bookman Old Style"/>
                <w:sz w:val="22"/>
                <w:szCs w:val="22"/>
              </w:rPr>
            </w:pPr>
          </w:p>
          <w:p w14:paraId="33A6EE0F" w14:textId="77777777" w:rsidR="0020333E" w:rsidRDefault="00775202">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0.7</w:t>
            </w:r>
            <w:r w:rsidR="0055139F">
              <w:rPr>
                <w:rFonts w:ascii="Bookman Old Style" w:eastAsia="Bookman Old Style" w:hAnsi="Bookman Old Style" w:cs="Bookman Old Style"/>
                <w:sz w:val="22"/>
                <w:szCs w:val="22"/>
              </w:rPr>
              <w:t>%</w:t>
            </w:r>
          </w:p>
          <w:p w14:paraId="0A9B00DC" w14:textId="77777777" w:rsidR="00775202" w:rsidRPr="00775202" w:rsidRDefault="00775202" w:rsidP="00775202">
            <w:pPr>
              <w:rPr>
                <w:rFonts w:ascii="Bookman Old Style" w:eastAsia="Bookman Old Style" w:hAnsi="Bookman Old Style" w:cs="Bookman Old Style"/>
                <w:sz w:val="22"/>
                <w:szCs w:val="22"/>
              </w:rPr>
            </w:pPr>
          </w:p>
          <w:p w14:paraId="0709FFBC" w14:textId="77777777" w:rsidR="00775202" w:rsidRDefault="00775202" w:rsidP="00775202">
            <w:pPr>
              <w:rPr>
                <w:rFonts w:ascii="Bookman Old Style" w:eastAsia="Bookman Old Style" w:hAnsi="Bookman Old Style" w:cs="Bookman Old Style"/>
                <w:sz w:val="22"/>
                <w:szCs w:val="22"/>
              </w:rPr>
            </w:pPr>
          </w:p>
          <w:p w14:paraId="3005D8B1" w14:textId="77777777" w:rsidR="00775202" w:rsidRDefault="00775202" w:rsidP="00775202">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0.6%</w:t>
            </w:r>
          </w:p>
          <w:p w14:paraId="7C83BC32" w14:textId="77777777" w:rsidR="00775202" w:rsidRPr="00775202" w:rsidRDefault="00775202" w:rsidP="00775202">
            <w:pPr>
              <w:rPr>
                <w:rFonts w:ascii="Bookman Old Style" w:eastAsia="Bookman Old Style" w:hAnsi="Bookman Old Style" w:cs="Bookman Old Style"/>
                <w:sz w:val="22"/>
                <w:szCs w:val="22"/>
              </w:rPr>
            </w:pPr>
          </w:p>
          <w:p w14:paraId="466CBF08" w14:textId="77777777" w:rsidR="00775202" w:rsidRDefault="00775202" w:rsidP="00775202">
            <w:pPr>
              <w:rPr>
                <w:rFonts w:ascii="Bookman Old Style" w:eastAsia="Bookman Old Style" w:hAnsi="Bookman Old Style" w:cs="Bookman Old Style"/>
                <w:sz w:val="22"/>
                <w:szCs w:val="22"/>
              </w:rPr>
            </w:pPr>
          </w:p>
          <w:p w14:paraId="400A7EE0" w14:textId="63D22189" w:rsidR="00775202" w:rsidRPr="00775202" w:rsidRDefault="00775202" w:rsidP="00775202">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0.2%</w:t>
            </w:r>
          </w:p>
        </w:tc>
        <w:tc>
          <w:tcPr>
            <w:tcW w:w="2426" w:type="dxa"/>
            <w:tcBorders>
              <w:top w:val="single" w:sz="4" w:space="0" w:color="000000"/>
              <w:left w:val="single" w:sz="4" w:space="0" w:color="000000"/>
            </w:tcBorders>
          </w:tcPr>
          <w:p w14:paraId="60264A98" w14:textId="77777777" w:rsidR="0020333E" w:rsidRDefault="0055139F">
            <w:pPr>
              <w:rPr>
                <w:rFonts w:ascii="Bookman Old Style" w:eastAsia="Bookman Old Style" w:hAnsi="Bookman Old Style" w:cs="Bookman Old Style"/>
                <w:color w:val="auto"/>
                <w:sz w:val="22"/>
                <w:szCs w:val="22"/>
              </w:rPr>
            </w:pPr>
            <w:r>
              <w:rPr>
                <w:rFonts w:ascii="Bookman Old Style" w:eastAsia="Bookman Old Style" w:hAnsi="Bookman Old Style" w:cs="Bookman Old Style"/>
                <w:sz w:val="22"/>
                <w:szCs w:val="22"/>
              </w:rPr>
              <w:t>Real Estate</w:t>
            </w:r>
          </w:p>
          <w:p w14:paraId="3808914C" w14:textId="77777777" w:rsidR="0020333E" w:rsidRDefault="0020333E">
            <w:pPr>
              <w:jc w:val="both"/>
              <w:rPr>
                <w:rFonts w:ascii="Bookman Old Style" w:eastAsia="Bookman Old Style" w:hAnsi="Bookman Old Style" w:cs="Bookman Old Style"/>
                <w:color w:val="auto"/>
                <w:sz w:val="22"/>
                <w:szCs w:val="22"/>
              </w:rPr>
            </w:pPr>
          </w:p>
          <w:p w14:paraId="08B91DE2" w14:textId="77777777" w:rsidR="0020333E" w:rsidRDefault="0020333E">
            <w:pPr>
              <w:jc w:val="both"/>
              <w:rPr>
                <w:rFonts w:ascii="Bookman Old Style" w:eastAsia="Bookman Old Style" w:hAnsi="Bookman Old Style" w:cs="Bookman Old Style"/>
                <w:sz w:val="22"/>
                <w:szCs w:val="22"/>
              </w:rPr>
            </w:pPr>
          </w:p>
          <w:p w14:paraId="2E54C0CC" w14:textId="77777777" w:rsidR="00775202" w:rsidRDefault="00775202" w:rsidP="00775202">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 xml:space="preserve">Professional, </w:t>
            </w:r>
          </w:p>
          <w:p w14:paraId="04752C07" w14:textId="77777777" w:rsidR="00775202" w:rsidRDefault="00775202" w:rsidP="00775202">
            <w:pPr>
              <w:rPr>
                <w:rFonts w:ascii="Bookman Old Style" w:eastAsia="Bookman Old Style" w:hAnsi="Bookman Old Style" w:cs="Bookman Old Style"/>
                <w:color w:val="auto"/>
                <w:sz w:val="22"/>
                <w:szCs w:val="22"/>
              </w:rPr>
            </w:pPr>
            <w:r>
              <w:rPr>
                <w:rFonts w:ascii="Bookman Old Style" w:eastAsia="Bookman Old Style" w:hAnsi="Bookman Old Style" w:cs="Bookman Old Style"/>
                <w:color w:val="auto"/>
                <w:sz w:val="22"/>
                <w:szCs w:val="22"/>
              </w:rPr>
              <w:t>Administrative &amp; Support</w:t>
            </w:r>
          </w:p>
          <w:p w14:paraId="08C22F0F" w14:textId="77777777" w:rsidR="0020333E" w:rsidRDefault="0020333E">
            <w:pPr>
              <w:jc w:val="both"/>
              <w:rPr>
                <w:rFonts w:ascii="Bookman Old Style" w:eastAsia="Bookman Old Style" w:hAnsi="Bookman Old Style" w:cs="Bookman Old Style"/>
                <w:sz w:val="22"/>
                <w:szCs w:val="22"/>
              </w:rPr>
            </w:pPr>
          </w:p>
          <w:p w14:paraId="7355A20E" w14:textId="308073F2" w:rsidR="0020333E" w:rsidRPr="006C2863" w:rsidRDefault="0020333E">
            <w:pPr>
              <w:rPr>
                <w:rFonts w:ascii="Bookman Old Style" w:eastAsia="Bookman Old Style" w:hAnsi="Bookman Old Style" w:cs="Bookman Old Style"/>
                <w:color w:val="auto"/>
                <w:sz w:val="22"/>
                <w:szCs w:val="22"/>
              </w:rPr>
            </w:pPr>
          </w:p>
        </w:tc>
        <w:tc>
          <w:tcPr>
            <w:tcW w:w="1026" w:type="dxa"/>
            <w:tcBorders>
              <w:top w:val="single" w:sz="4" w:space="0" w:color="000000"/>
            </w:tcBorders>
          </w:tcPr>
          <w:p w14:paraId="50236698" w14:textId="77777777"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-3.9%</w:t>
            </w:r>
          </w:p>
          <w:p w14:paraId="7923BD11" w14:textId="77777777" w:rsidR="0020333E" w:rsidRDefault="0020333E">
            <w:pPr>
              <w:rPr>
                <w:rFonts w:ascii="Bookman Old Style" w:eastAsia="Bookman Old Style" w:hAnsi="Bookman Old Style" w:cs="Bookman Old Style"/>
                <w:sz w:val="22"/>
                <w:szCs w:val="22"/>
              </w:rPr>
            </w:pPr>
          </w:p>
          <w:p w14:paraId="6B192BEF" w14:textId="77777777" w:rsidR="0020333E" w:rsidRDefault="0020333E">
            <w:pPr>
              <w:rPr>
                <w:rFonts w:ascii="Bookman Old Style" w:eastAsia="Bookman Old Style" w:hAnsi="Bookman Old Style" w:cs="Bookman Old Style"/>
                <w:sz w:val="22"/>
                <w:szCs w:val="22"/>
              </w:rPr>
            </w:pPr>
          </w:p>
          <w:p w14:paraId="4ED9DF8F" w14:textId="77777777" w:rsidR="00775202" w:rsidRDefault="00775202">
            <w:pPr>
              <w:rPr>
                <w:rFonts w:ascii="Bookman Old Style" w:eastAsia="Bookman Old Style" w:hAnsi="Bookman Old Style" w:cs="Bookman Old Style"/>
                <w:sz w:val="22"/>
                <w:szCs w:val="22"/>
              </w:rPr>
            </w:pPr>
          </w:p>
          <w:p w14:paraId="3FB76C48" w14:textId="3AE8F9FF"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w:t>
            </w:r>
            <w:r w:rsidR="00775202">
              <w:rPr>
                <w:rFonts w:ascii="Bookman Old Style" w:eastAsia="Bookman Old Style" w:hAnsi="Bookman Old Style" w:cs="Bookman Old Style"/>
                <w:sz w:val="22"/>
                <w:szCs w:val="22"/>
              </w:rPr>
              <w:t>1.7</w:t>
            </w:r>
            <w:r>
              <w:rPr>
                <w:rFonts w:ascii="Bookman Old Style" w:eastAsia="Bookman Old Style" w:hAnsi="Bookman Old Style" w:cs="Bookman Old Style"/>
                <w:sz w:val="22"/>
                <w:szCs w:val="22"/>
              </w:rPr>
              <w:t>%</w:t>
            </w:r>
          </w:p>
          <w:p w14:paraId="7AC1D4C1" w14:textId="77777777" w:rsidR="0020333E" w:rsidRDefault="0020333E">
            <w:pPr>
              <w:rPr>
                <w:rFonts w:ascii="Bookman Old Style" w:eastAsia="Bookman Old Style" w:hAnsi="Bookman Old Style" w:cs="Bookman Old Style"/>
                <w:sz w:val="22"/>
                <w:szCs w:val="22"/>
              </w:rPr>
            </w:pPr>
          </w:p>
          <w:p w14:paraId="790BDEB4" w14:textId="77777777" w:rsidR="0020333E" w:rsidRDefault="0020333E">
            <w:pPr>
              <w:rPr>
                <w:rFonts w:ascii="Bookman Old Style" w:eastAsia="Bookman Old Style" w:hAnsi="Bookman Old Style" w:cs="Bookman Old Style"/>
                <w:sz w:val="22"/>
                <w:szCs w:val="22"/>
              </w:rPr>
            </w:pPr>
          </w:p>
          <w:p w14:paraId="576BA37D" w14:textId="03BCAABA"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p w14:paraId="576BD53D" w14:textId="77777777" w:rsidR="0020333E" w:rsidRDefault="0020333E">
            <w:pPr>
              <w:rPr>
                <w:rFonts w:ascii="Bookman Old Style" w:eastAsia="Bookman Old Style" w:hAnsi="Bookman Old Style" w:cs="Bookman Old Style"/>
                <w:sz w:val="22"/>
                <w:szCs w:val="22"/>
              </w:rPr>
            </w:pPr>
          </w:p>
          <w:p w14:paraId="5EE07567" w14:textId="77777777" w:rsidR="0020333E" w:rsidRDefault="0020333E">
            <w:pPr>
              <w:rPr>
                <w:rFonts w:ascii="Bookman Old Style" w:eastAsia="Bookman Old Style" w:hAnsi="Bookman Old Style" w:cs="Bookman Old Style"/>
                <w:sz w:val="22"/>
                <w:szCs w:val="22"/>
              </w:rPr>
            </w:pPr>
          </w:p>
          <w:p w14:paraId="6404CE00" w14:textId="4ED353D6"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p w14:paraId="275FD12F" w14:textId="77777777" w:rsidR="0020333E" w:rsidRDefault="0020333E">
            <w:pPr>
              <w:rPr>
                <w:rFonts w:ascii="Bookman Old Style" w:eastAsia="Bookman Old Style" w:hAnsi="Bookman Old Style" w:cs="Bookman Old Style"/>
                <w:sz w:val="22"/>
                <w:szCs w:val="22"/>
              </w:rPr>
            </w:pPr>
          </w:p>
          <w:p w14:paraId="21E8C33B" w14:textId="77777777" w:rsidR="0020333E" w:rsidRDefault="0020333E">
            <w:pPr>
              <w:rPr>
                <w:rFonts w:ascii="Bookman Old Style" w:eastAsia="Bookman Old Style" w:hAnsi="Bookman Old Style" w:cs="Bookman Old Style"/>
                <w:sz w:val="22"/>
                <w:szCs w:val="22"/>
              </w:rPr>
            </w:pPr>
          </w:p>
          <w:p w14:paraId="79966906" w14:textId="68C18675"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p w14:paraId="1A480D08" w14:textId="77777777" w:rsidR="0020333E" w:rsidRDefault="0055139F">
            <w:pPr>
              <w:rPr>
                <w:rFonts w:ascii="Bookman Old Style" w:eastAsia="Bookman Old Style" w:hAnsi="Bookman Old Style" w:cs="Bookman Old Style"/>
                <w:sz w:val="22"/>
                <w:szCs w:val="22"/>
              </w:rPr>
            </w:pPr>
            <w:r>
              <w:rPr>
                <w:rFonts w:ascii="Bookman Old Style" w:eastAsia="Bookman Old Style" w:hAnsi="Bookman Old Style" w:cs="Bookman Old Style"/>
                <w:sz w:val="22"/>
                <w:szCs w:val="22"/>
              </w:rPr>
              <w:t xml:space="preserve">    </w:t>
            </w:r>
          </w:p>
        </w:tc>
      </w:tr>
    </w:tbl>
    <w:p w14:paraId="0AFAD04A" w14:textId="77777777" w:rsidR="0020333E" w:rsidRDefault="0055139F">
      <w:pPr>
        <w:tabs>
          <w:tab w:val="left" w:pos="1732"/>
        </w:tabs>
        <w:jc w:val="both"/>
        <w:rPr>
          <w:rFonts w:ascii="Bookman Old Style" w:eastAsia="Bookman Old Style" w:hAnsi="Bookman Old Style" w:cs="Bookman Old Style"/>
          <w:b/>
        </w:rPr>
      </w:pPr>
      <w:r>
        <w:rPr>
          <w:rFonts w:ascii="Bookman Old Style" w:eastAsia="Bookman Old Style" w:hAnsi="Bookman Old Style" w:cs="Bookman Old Style"/>
          <w:b/>
        </w:rPr>
        <w:tab/>
      </w:r>
    </w:p>
    <w:p w14:paraId="531552DD" w14:textId="77777777" w:rsidR="0020333E" w:rsidRDefault="0020333E">
      <w:pPr>
        <w:tabs>
          <w:tab w:val="left" w:pos="1732"/>
        </w:tabs>
        <w:jc w:val="both"/>
        <w:rPr>
          <w:rFonts w:ascii="Bookman Old Style" w:eastAsia="Bookman Old Style" w:hAnsi="Bookman Old Style" w:cs="Bookman Old Style"/>
        </w:rPr>
      </w:pPr>
    </w:p>
    <w:p w14:paraId="7418DA06" w14:textId="77777777" w:rsidR="0020333E" w:rsidRDefault="0020333E">
      <w:pPr>
        <w:tabs>
          <w:tab w:val="left" w:pos="1732"/>
        </w:tabs>
        <w:jc w:val="both"/>
        <w:rPr>
          <w:rFonts w:ascii="Bookman Old Style" w:eastAsia="Bookman Old Style" w:hAnsi="Bookman Old Style" w:cs="Bookman Old Style"/>
        </w:rPr>
      </w:pPr>
    </w:p>
    <w:p w14:paraId="78710E0A" w14:textId="77777777" w:rsidR="0020333E" w:rsidRDefault="0020333E">
      <w:pPr>
        <w:tabs>
          <w:tab w:val="left" w:pos="1732"/>
        </w:tabs>
        <w:jc w:val="both"/>
        <w:rPr>
          <w:rFonts w:ascii="Bookman Old Style" w:eastAsia="Bookman Old Style" w:hAnsi="Bookman Old Style" w:cs="Bookman Old Style"/>
        </w:rPr>
      </w:pPr>
    </w:p>
    <w:p w14:paraId="24348B33" w14:textId="77777777" w:rsidR="0020333E" w:rsidRDefault="0020333E">
      <w:pPr>
        <w:tabs>
          <w:tab w:val="left" w:pos="1732"/>
        </w:tabs>
        <w:jc w:val="both"/>
        <w:rPr>
          <w:rFonts w:ascii="Bookman Old Style" w:eastAsia="Bookman Old Style" w:hAnsi="Bookman Old Style" w:cs="Bookman Old Style"/>
        </w:rPr>
      </w:pPr>
    </w:p>
    <w:p w14:paraId="0ECCD6DB" w14:textId="77777777" w:rsidR="0020333E" w:rsidRDefault="0020333E">
      <w:pPr>
        <w:tabs>
          <w:tab w:val="left" w:pos="1732"/>
        </w:tabs>
        <w:jc w:val="both"/>
        <w:rPr>
          <w:rFonts w:ascii="Bookman Old Style" w:eastAsia="Bookman Old Style" w:hAnsi="Bookman Old Style" w:cs="Bookman Old Style"/>
        </w:rPr>
      </w:pPr>
    </w:p>
    <w:p w14:paraId="635B534B" w14:textId="77777777" w:rsidR="0020333E" w:rsidRDefault="0020333E">
      <w:pPr>
        <w:tabs>
          <w:tab w:val="left" w:pos="1732"/>
        </w:tabs>
        <w:jc w:val="both"/>
        <w:rPr>
          <w:rFonts w:ascii="Bookman Old Style" w:eastAsia="Bookman Old Style" w:hAnsi="Bookman Old Style" w:cs="Bookman Old Style"/>
        </w:rPr>
      </w:pPr>
    </w:p>
    <w:p w14:paraId="419745E1" w14:textId="77777777" w:rsidR="0020333E" w:rsidRDefault="0020333E">
      <w:pPr>
        <w:tabs>
          <w:tab w:val="left" w:pos="1732"/>
        </w:tabs>
        <w:jc w:val="both"/>
        <w:rPr>
          <w:rFonts w:eastAsia="Bookman Old Style"/>
        </w:rPr>
      </w:pPr>
    </w:p>
    <w:p w14:paraId="15E0570A" w14:textId="0B2EF0C3" w:rsidR="0020333E" w:rsidRDefault="00C53F2A">
      <w:pPr>
        <w:tabs>
          <w:tab w:val="left" w:pos="1732"/>
        </w:tabs>
        <w:jc w:val="both"/>
        <w:rPr>
          <w:rFonts w:eastAsia="Bookman Old Style"/>
        </w:rPr>
      </w:pPr>
      <w:r w:rsidRPr="00C53F2A">
        <w:rPr>
          <w:rFonts w:eastAsia="Bookman Old Style"/>
          <w:noProof/>
        </w:rPr>
        <w:lastRenderedPageBreak/>
        <w:drawing>
          <wp:inline distT="0" distB="0" distL="0" distR="0" wp14:anchorId="0E3F2EFC" wp14:editId="75A69DA0">
            <wp:extent cx="6604462" cy="9169400"/>
            <wp:effectExtent l="0" t="0" r="6350" b="0"/>
            <wp:docPr id="27155407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609859" cy="9176894"/>
                    </a:xfrm>
                    <a:prstGeom prst="rect">
                      <a:avLst/>
                    </a:prstGeom>
                    <a:noFill/>
                    <a:ln>
                      <a:noFill/>
                    </a:ln>
                  </pic:spPr>
                </pic:pic>
              </a:graphicData>
            </a:graphic>
          </wp:inline>
        </w:drawing>
      </w:r>
    </w:p>
    <w:p w14:paraId="76DF4F36" w14:textId="31E12177" w:rsidR="0020333E" w:rsidRDefault="0020333E">
      <w:pPr>
        <w:tabs>
          <w:tab w:val="left" w:pos="1732"/>
        </w:tabs>
        <w:jc w:val="both"/>
        <w:rPr>
          <w:rFonts w:ascii="Bookman Old Style" w:eastAsia="Bookman Old Style" w:hAnsi="Bookman Old Style" w:cs="Bookman Old Style"/>
        </w:rPr>
      </w:pPr>
    </w:p>
    <w:p w14:paraId="6FEEBB3B" w14:textId="7D83DD39" w:rsidR="0020333E" w:rsidRDefault="001D7159">
      <w:pPr>
        <w:tabs>
          <w:tab w:val="left" w:pos="1732"/>
        </w:tabs>
        <w:jc w:val="both"/>
        <w:rPr>
          <w:rFonts w:ascii="Bookman Old Style" w:eastAsia="Bookman Old Style" w:hAnsi="Bookman Old Style" w:cs="Bookman Old Style"/>
        </w:rPr>
      </w:pPr>
      <w:r w:rsidRPr="001D7159">
        <w:rPr>
          <w:rFonts w:eastAsia="Bookman Old Style"/>
          <w:noProof/>
        </w:rPr>
        <w:drawing>
          <wp:inline distT="0" distB="0" distL="0" distR="0" wp14:anchorId="3E536074" wp14:editId="73401C20">
            <wp:extent cx="6527800" cy="8756650"/>
            <wp:effectExtent l="0" t="0" r="635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527800" cy="8756650"/>
                    </a:xfrm>
                    <a:prstGeom prst="rect">
                      <a:avLst/>
                    </a:prstGeom>
                    <a:noFill/>
                    <a:ln>
                      <a:noFill/>
                    </a:ln>
                  </pic:spPr>
                </pic:pic>
              </a:graphicData>
            </a:graphic>
          </wp:inline>
        </w:drawing>
      </w:r>
    </w:p>
    <w:p w14:paraId="46CADF99" w14:textId="3383B0D3" w:rsidR="001D7159" w:rsidRDefault="001D7159">
      <w:pPr>
        <w:tabs>
          <w:tab w:val="left" w:pos="1732"/>
        </w:tabs>
        <w:jc w:val="both"/>
        <w:rPr>
          <w:rFonts w:ascii="Bookman Old Style" w:eastAsia="Bookman Old Style" w:hAnsi="Bookman Old Style" w:cs="Bookman Old Style"/>
        </w:rPr>
      </w:pPr>
    </w:p>
    <w:p w14:paraId="5E235C6D" w14:textId="030F0A11" w:rsidR="001D7159" w:rsidRDefault="001D7159">
      <w:pPr>
        <w:tabs>
          <w:tab w:val="left" w:pos="1732"/>
        </w:tabs>
        <w:jc w:val="both"/>
        <w:rPr>
          <w:rFonts w:ascii="Bookman Old Style" w:eastAsia="Bookman Old Style" w:hAnsi="Bookman Old Style" w:cs="Bookman Old Style"/>
        </w:rPr>
      </w:pPr>
      <w:r w:rsidRPr="001D7159">
        <w:rPr>
          <w:rFonts w:eastAsia="Bookman Old Style"/>
          <w:noProof/>
        </w:rPr>
        <w:lastRenderedPageBreak/>
        <w:drawing>
          <wp:inline distT="0" distB="0" distL="0" distR="0" wp14:anchorId="10B0B68F" wp14:editId="37F75FC8">
            <wp:extent cx="6400800" cy="896937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00800" cy="8969375"/>
                    </a:xfrm>
                    <a:prstGeom prst="rect">
                      <a:avLst/>
                    </a:prstGeom>
                    <a:noFill/>
                    <a:ln>
                      <a:noFill/>
                    </a:ln>
                  </pic:spPr>
                </pic:pic>
              </a:graphicData>
            </a:graphic>
          </wp:inline>
        </w:drawing>
      </w:r>
    </w:p>
    <w:sectPr w:rsidR="001D7159">
      <w:footerReference w:type="default" r:id="rId17"/>
      <w:pgSz w:w="11906" w:h="16838"/>
      <w:pgMar w:top="1152" w:right="1080" w:bottom="1152" w:left="1080" w:header="706" w:footer="706" w:gutter="0"/>
      <w:pgNumType w:start="1"/>
      <w:cols w:space="720"/>
      <w:titlePg/>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95CFA7E" w14:textId="77777777" w:rsidR="00074441" w:rsidRDefault="00074441">
      <w:r>
        <w:separator/>
      </w:r>
    </w:p>
  </w:endnote>
  <w:endnote w:type="continuationSeparator" w:id="0">
    <w:p w14:paraId="6F337AE3" w14:textId="77777777" w:rsidR="00074441" w:rsidRDefault="000744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C1E9AE" w14:textId="77777777" w:rsidR="0020333E" w:rsidRDefault="0055139F">
    <w:pPr>
      <w:tabs>
        <w:tab w:val="center" w:pos="4320"/>
        <w:tab w:val="right" w:pos="8640"/>
      </w:tabs>
      <w:jc w:val="center"/>
      <w:rPr>
        <w:color w:val="000000"/>
      </w:rPr>
    </w:pPr>
    <w:r>
      <w:rPr>
        <w:color w:val="000000"/>
      </w:rPr>
      <w:fldChar w:fldCharType="begin"/>
    </w:r>
    <w:r>
      <w:rPr>
        <w:color w:val="000000"/>
      </w:rPr>
      <w:instrText>PAGE</w:instrText>
    </w:r>
    <w:r>
      <w:rPr>
        <w:color w:val="000000"/>
      </w:rPr>
      <w:fldChar w:fldCharType="separate"/>
    </w:r>
    <w:r w:rsidR="00630299">
      <w:rPr>
        <w:noProof/>
        <w:color w:val="000000"/>
      </w:rPr>
      <w:t>11</w:t>
    </w:r>
    <w:r>
      <w:rPr>
        <w:color w:val="000000"/>
      </w:rPr>
      <w:fldChar w:fldCharType="end"/>
    </w:r>
  </w:p>
  <w:p w14:paraId="712EB830" w14:textId="77777777" w:rsidR="0020333E" w:rsidRDefault="0020333E">
    <w:pPr>
      <w:tabs>
        <w:tab w:val="center" w:pos="4320"/>
        <w:tab w:val="right" w:pos="8640"/>
      </w:tabs>
      <w:rPr>
        <w:color w:val="00000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0D6A6E" w14:textId="77777777" w:rsidR="00074441" w:rsidRDefault="00074441">
      <w:r>
        <w:separator/>
      </w:r>
    </w:p>
  </w:footnote>
  <w:footnote w:type="continuationSeparator" w:id="0">
    <w:p w14:paraId="29F3F3E4" w14:textId="77777777" w:rsidR="00074441" w:rsidRDefault="00074441">
      <w:r>
        <w:continuationSeparator/>
      </w:r>
    </w:p>
  </w:footnote>
  <w:footnote w:id="1">
    <w:p w14:paraId="79A594EE" w14:textId="77777777" w:rsidR="0020333E" w:rsidRDefault="0055139F">
      <w:pPr>
        <w:rPr>
          <w:color w:val="000000"/>
          <w:sz w:val="20"/>
          <w:szCs w:val="20"/>
        </w:rPr>
      </w:pPr>
      <w:r>
        <w:rPr>
          <w:vertAlign w:val="superscript"/>
        </w:rPr>
        <w:footnoteRef/>
      </w:r>
    </w:p>
    <w:p w14:paraId="604F6705" w14:textId="77777777" w:rsidR="0020333E" w:rsidRDefault="0020333E">
      <w:pPr>
        <w:rPr>
          <w:color w:val="000000"/>
          <w:sz w:val="20"/>
          <w:szCs w:val="20"/>
        </w:rPr>
      </w:pPr>
    </w:p>
    <w:p w14:paraId="61300EB2" w14:textId="77777777" w:rsidR="0020333E" w:rsidRDefault="0020333E">
      <w:pPr>
        <w:rPr>
          <w:color w:val="000000"/>
          <w:sz w:val="20"/>
          <w:szCs w:val="20"/>
        </w:rPr>
      </w:pPr>
    </w:p>
    <w:p w14:paraId="0BB0A160" w14:textId="77777777" w:rsidR="0020333E" w:rsidRDefault="0020333E">
      <w:pPr>
        <w:rPr>
          <w:color w:val="000000"/>
          <w:sz w:val="20"/>
          <w:szCs w:val="20"/>
        </w:rPr>
      </w:pPr>
    </w:p>
    <w:p w14:paraId="122BAA22" w14:textId="77777777" w:rsidR="0020333E" w:rsidRDefault="0020333E">
      <w:pPr>
        <w:rPr>
          <w:color w:val="000000"/>
          <w:sz w:val="20"/>
          <w:szCs w:val="20"/>
        </w:rPr>
      </w:pPr>
    </w:p>
    <w:p w14:paraId="302A8E0E" w14:textId="77777777" w:rsidR="0020333E" w:rsidRDefault="0020333E">
      <w:pPr>
        <w:rPr>
          <w:color w:val="000000"/>
          <w:sz w:val="20"/>
          <w:szCs w:val="20"/>
        </w:rPr>
      </w:pPr>
    </w:p>
  </w:footnote>
  <w:footnote w:id="2">
    <w:p w14:paraId="6B986F4C" w14:textId="77777777" w:rsidR="0020333E" w:rsidRDefault="0055139F">
      <w:r>
        <w:rPr>
          <w:vertAlign w:val="superscript"/>
        </w:rPr>
        <w:footnoteRef/>
      </w:r>
      <w:r>
        <w:t xml:space="preserve"> </w:t>
      </w:r>
      <w:r>
        <w:rPr>
          <w:sz w:val="20"/>
          <w:szCs w:val="20"/>
        </w:rPr>
        <w:t xml:space="preserve">Quarter-on-quarter GDP estimates provide a short term (within three months) picture of current economic developments. </w:t>
      </w:r>
      <w:r>
        <w:rPr>
          <w:sz w:val="21"/>
          <w:szCs w:val="21"/>
        </w:rPr>
        <w:t xml:space="preserve"> </w:t>
      </w:r>
      <w:r>
        <w:rPr>
          <w:sz w:val="20"/>
          <w:szCs w:val="20"/>
        </w:rPr>
        <w:t>Estimates are influenced by</w:t>
      </w:r>
      <w:r>
        <w:rPr>
          <w:sz w:val="21"/>
          <w:szCs w:val="21"/>
        </w:rPr>
        <w:t xml:space="preserve"> s</w:t>
      </w:r>
      <w:r>
        <w:rPr>
          <w:sz w:val="20"/>
          <w:szCs w:val="20"/>
        </w:rPr>
        <w:t>easonal patterns that are caused by economic behavior or recurrent exogenous factors such as weather patterns, holidays, religious events, festive seasons, etc.</w:t>
      </w:r>
    </w:p>
    <w:p w14:paraId="51F2AA00" w14:textId="77777777" w:rsidR="0020333E" w:rsidRDefault="0020333E"/>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280400"/>
    <w:multiLevelType w:val="multilevel"/>
    <w:tmpl w:val="1728040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nsid w:val="2BDE0DC6"/>
    <w:multiLevelType w:val="multilevel"/>
    <w:tmpl w:val="2BDE0DC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nsid w:val="50F92BCC"/>
    <w:multiLevelType w:val="multilevel"/>
    <w:tmpl w:val="50F92BC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584F1E0F"/>
    <w:multiLevelType w:val="multilevel"/>
    <w:tmpl w:val="584F1E0F"/>
    <w:lvl w:ilvl="0">
      <w:start w:val="1"/>
      <w:numFmt w:val="bullet"/>
      <w:lvlText w:val="●"/>
      <w:lvlJc w:val="left"/>
      <w:pPr>
        <w:ind w:left="360" w:hanging="360"/>
      </w:pPr>
      <w:rPr>
        <w:rFonts w:ascii="Noto Sans Symbols" w:eastAsia="Noto Sans Symbols" w:hAnsi="Noto Sans Symbols" w:cs="Noto Sans Symbols"/>
      </w:r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nsid w:val="650C46A8"/>
    <w:multiLevelType w:val="multilevel"/>
    <w:tmpl w:val="650C46A8"/>
    <w:lvl w:ilvl="0">
      <w:start w:val="1"/>
      <w:numFmt w:val="bullet"/>
      <w:lvlText w:val="●"/>
      <w:lvlJc w:val="left"/>
      <w:pPr>
        <w:ind w:left="360" w:hanging="360"/>
      </w:pPr>
      <w:rPr>
        <w:rFonts w:ascii="Noto Sans Symbols" w:eastAsia="Noto Sans Symbols" w:hAnsi="Noto Sans Symbols" w:cs="Noto Sans Symbols"/>
      </w:rPr>
    </w:lvl>
    <w:lvl w:ilvl="1">
      <w:start w:val="1"/>
      <w:numFmt w:val="decimal"/>
      <w:lvlText w:val="%2."/>
      <w:lvlJc w:val="left"/>
      <w:pPr>
        <w:ind w:left="1080" w:hanging="360"/>
      </w:p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abstractNumId w:val="1"/>
  </w:num>
  <w:num w:numId="2">
    <w:abstractNumId w:val="4"/>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yBUJjU3MDczMjIzMzQyUdpeDU4uLM/DyQAkOTWgDSuzPJLQAAAA=="/>
  </w:docVars>
  <w:rsids>
    <w:rsidRoot w:val="0097406D"/>
    <w:rsid w:val="00003B87"/>
    <w:rsid w:val="00005904"/>
    <w:rsid w:val="00005CBD"/>
    <w:rsid w:val="0000607C"/>
    <w:rsid w:val="0001012F"/>
    <w:rsid w:val="00012914"/>
    <w:rsid w:val="000213C0"/>
    <w:rsid w:val="00021FC2"/>
    <w:rsid w:val="00022AB9"/>
    <w:rsid w:val="00023D01"/>
    <w:rsid w:val="00023F17"/>
    <w:rsid w:val="00030247"/>
    <w:rsid w:val="00032670"/>
    <w:rsid w:val="0003421F"/>
    <w:rsid w:val="000345AD"/>
    <w:rsid w:val="00042188"/>
    <w:rsid w:val="000442C6"/>
    <w:rsid w:val="000462A9"/>
    <w:rsid w:val="00047FB6"/>
    <w:rsid w:val="00050442"/>
    <w:rsid w:val="0005084C"/>
    <w:rsid w:val="00051288"/>
    <w:rsid w:val="0005174E"/>
    <w:rsid w:val="0005210A"/>
    <w:rsid w:val="00066759"/>
    <w:rsid w:val="000706F2"/>
    <w:rsid w:val="000711F5"/>
    <w:rsid w:val="00074441"/>
    <w:rsid w:val="000746B7"/>
    <w:rsid w:val="0007617F"/>
    <w:rsid w:val="00082074"/>
    <w:rsid w:val="00083C06"/>
    <w:rsid w:val="00084B12"/>
    <w:rsid w:val="00084D5B"/>
    <w:rsid w:val="00087AD8"/>
    <w:rsid w:val="000909F6"/>
    <w:rsid w:val="00096816"/>
    <w:rsid w:val="00097A06"/>
    <w:rsid w:val="000A01C7"/>
    <w:rsid w:val="000A04D7"/>
    <w:rsid w:val="000A0BF3"/>
    <w:rsid w:val="000A59A5"/>
    <w:rsid w:val="000B3E76"/>
    <w:rsid w:val="000B401E"/>
    <w:rsid w:val="000C512A"/>
    <w:rsid w:val="000C5FA4"/>
    <w:rsid w:val="000D0E6A"/>
    <w:rsid w:val="000D3949"/>
    <w:rsid w:val="000D4EC6"/>
    <w:rsid w:val="000D6AE9"/>
    <w:rsid w:val="000E1908"/>
    <w:rsid w:val="000E3CE6"/>
    <w:rsid w:val="000E65E0"/>
    <w:rsid w:val="000F3B58"/>
    <w:rsid w:val="000F4AFF"/>
    <w:rsid w:val="000F680B"/>
    <w:rsid w:val="00101517"/>
    <w:rsid w:val="0010641D"/>
    <w:rsid w:val="001122E0"/>
    <w:rsid w:val="00112948"/>
    <w:rsid w:val="001154AD"/>
    <w:rsid w:val="0011620E"/>
    <w:rsid w:val="00117E99"/>
    <w:rsid w:val="00117FC9"/>
    <w:rsid w:val="00121786"/>
    <w:rsid w:val="00122493"/>
    <w:rsid w:val="00122862"/>
    <w:rsid w:val="00123035"/>
    <w:rsid w:val="00123EEF"/>
    <w:rsid w:val="001326FA"/>
    <w:rsid w:val="00134948"/>
    <w:rsid w:val="00134B99"/>
    <w:rsid w:val="001373DE"/>
    <w:rsid w:val="001415E0"/>
    <w:rsid w:val="00143B24"/>
    <w:rsid w:val="00144C9C"/>
    <w:rsid w:val="00144CF9"/>
    <w:rsid w:val="00144D31"/>
    <w:rsid w:val="00146597"/>
    <w:rsid w:val="00146E43"/>
    <w:rsid w:val="00147569"/>
    <w:rsid w:val="001502F0"/>
    <w:rsid w:val="00153B20"/>
    <w:rsid w:val="001601BB"/>
    <w:rsid w:val="001658E7"/>
    <w:rsid w:val="00165C4A"/>
    <w:rsid w:val="001660CC"/>
    <w:rsid w:val="00167467"/>
    <w:rsid w:val="0017525B"/>
    <w:rsid w:val="00181BBF"/>
    <w:rsid w:val="001825EE"/>
    <w:rsid w:val="00186828"/>
    <w:rsid w:val="00187934"/>
    <w:rsid w:val="00190C2D"/>
    <w:rsid w:val="001974C2"/>
    <w:rsid w:val="001978B5"/>
    <w:rsid w:val="001A02C2"/>
    <w:rsid w:val="001A04C3"/>
    <w:rsid w:val="001A088E"/>
    <w:rsid w:val="001A2E9D"/>
    <w:rsid w:val="001A5264"/>
    <w:rsid w:val="001B18D6"/>
    <w:rsid w:val="001B3A9B"/>
    <w:rsid w:val="001B4F62"/>
    <w:rsid w:val="001B56A6"/>
    <w:rsid w:val="001B61E3"/>
    <w:rsid w:val="001B74BE"/>
    <w:rsid w:val="001B7BBE"/>
    <w:rsid w:val="001C03D3"/>
    <w:rsid w:val="001C049C"/>
    <w:rsid w:val="001C16F4"/>
    <w:rsid w:val="001C1955"/>
    <w:rsid w:val="001C3DD3"/>
    <w:rsid w:val="001C79B5"/>
    <w:rsid w:val="001D1043"/>
    <w:rsid w:val="001D6719"/>
    <w:rsid w:val="001D7159"/>
    <w:rsid w:val="001E362D"/>
    <w:rsid w:val="001E4FD1"/>
    <w:rsid w:val="001F048D"/>
    <w:rsid w:val="001F4260"/>
    <w:rsid w:val="001F6481"/>
    <w:rsid w:val="00200F92"/>
    <w:rsid w:val="0020333E"/>
    <w:rsid w:val="0020559A"/>
    <w:rsid w:val="00211D1F"/>
    <w:rsid w:val="00217BB6"/>
    <w:rsid w:val="00223412"/>
    <w:rsid w:val="00232408"/>
    <w:rsid w:val="0023425D"/>
    <w:rsid w:val="00234EC1"/>
    <w:rsid w:val="00237D40"/>
    <w:rsid w:val="00240C82"/>
    <w:rsid w:val="00243593"/>
    <w:rsid w:val="00244932"/>
    <w:rsid w:val="00244DEA"/>
    <w:rsid w:val="002452A3"/>
    <w:rsid w:val="00247D05"/>
    <w:rsid w:val="0026270D"/>
    <w:rsid w:val="00264E8E"/>
    <w:rsid w:val="00266E91"/>
    <w:rsid w:val="00267FA9"/>
    <w:rsid w:val="002740F7"/>
    <w:rsid w:val="002752DF"/>
    <w:rsid w:val="00276F83"/>
    <w:rsid w:val="002826C5"/>
    <w:rsid w:val="0028492B"/>
    <w:rsid w:val="00286FE5"/>
    <w:rsid w:val="00293C9A"/>
    <w:rsid w:val="002A42BF"/>
    <w:rsid w:val="002A5B10"/>
    <w:rsid w:val="002A7082"/>
    <w:rsid w:val="002B3742"/>
    <w:rsid w:val="002C0395"/>
    <w:rsid w:val="002C167F"/>
    <w:rsid w:val="002C1B8E"/>
    <w:rsid w:val="002D1077"/>
    <w:rsid w:val="002D1E53"/>
    <w:rsid w:val="002D230F"/>
    <w:rsid w:val="002D2978"/>
    <w:rsid w:val="002D2C6B"/>
    <w:rsid w:val="002D5581"/>
    <w:rsid w:val="002D5587"/>
    <w:rsid w:val="002D6839"/>
    <w:rsid w:val="002D7DE1"/>
    <w:rsid w:val="002E03FE"/>
    <w:rsid w:val="002E1EC9"/>
    <w:rsid w:val="002E3CF7"/>
    <w:rsid w:val="002E4EAB"/>
    <w:rsid w:val="002E71EC"/>
    <w:rsid w:val="002E7220"/>
    <w:rsid w:val="002F14F6"/>
    <w:rsid w:val="002F2569"/>
    <w:rsid w:val="002F70C1"/>
    <w:rsid w:val="00303F8B"/>
    <w:rsid w:val="00305967"/>
    <w:rsid w:val="00310872"/>
    <w:rsid w:val="00310B91"/>
    <w:rsid w:val="0031183C"/>
    <w:rsid w:val="00311E2D"/>
    <w:rsid w:val="00313C92"/>
    <w:rsid w:val="0031475D"/>
    <w:rsid w:val="00314CCD"/>
    <w:rsid w:val="0031611D"/>
    <w:rsid w:val="0031687D"/>
    <w:rsid w:val="003204B6"/>
    <w:rsid w:val="0032503D"/>
    <w:rsid w:val="00325F4F"/>
    <w:rsid w:val="00333796"/>
    <w:rsid w:val="0033741B"/>
    <w:rsid w:val="0034023E"/>
    <w:rsid w:val="0034089B"/>
    <w:rsid w:val="00342F02"/>
    <w:rsid w:val="0034587D"/>
    <w:rsid w:val="00346D3A"/>
    <w:rsid w:val="00347C16"/>
    <w:rsid w:val="0035070A"/>
    <w:rsid w:val="003508A9"/>
    <w:rsid w:val="003514A1"/>
    <w:rsid w:val="00356D25"/>
    <w:rsid w:val="003576F6"/>
    <w:rsid w:val="00360134"/>
    <w:rsid w:val="00360D72"/>
    <w:rsid w:val="003648BC"/>
    <w:rsid w:val="00365CC4"/>
    <w:rsid w:val="00367B59"/>
    <w:rsid w:val="00367F98"/>
    <w:rsid w:val="003722A4"/>
    <w:rsid w:val="00373514"/>
    <w:rsid w:val="003742ED"/>
    <w:rsid w:val="00375179"/>
    <w:rsid w:val="00377FE9"/>
    <w:rsid w:val="00385F31"/>
    <w:rsid w:val="00394B9A"/>
    <w:rsid w:val="003953D1"/>
    <w:rsid w:val="00396416"/>
    <w:rsid w:val="00397248"/>
    <w:rsid w:val="003A00CA"/>
    <w:rsid w:val="003A3014"/>
    <w:rsid w:val="003A3550"/>
    <w:rsid w:val="003A411B"/>
    <w:rsid w:val="003A64B3"/>
    <w:rsid w:val="003B3D7B"/>
    <w:rsid w:val="003B62DF"/>
    <w:rsid w:val="003C1BEF"/>
    <w:rsid w:val="003C1FE7"/>
    <w:rsid w:val="003C5666"/>
    <w:rsid w:val="003C6949"/>
    <w:rsid w:val="003D605F"/>
    <w:rsid w:val="003E00B6"/>
    <w:rsid w:val="003E4B59"/>
    <w:rsid w:val="003E53C2"/>
    <w:rsid w:val="003E6713"/>
    <w:rsid w:val="003E68D4"/>
    <w:rsid w:val="003F4D6D"/>
    <w:rsid w:val="003F7A3A"/>
    <w:rsid w:val="00404D2A"/>
    <w:rsid w:val="00413975"/>
    <w:rsid w:val="0041456A"/>
    <w:rsid w:val="0041664E"/>
    <w:rsid w:val="00416759"/>
    <w:rsid w:val="004213A2"/>
    <w:rsid w:val="00422A1D"/>
    <w:rsid w:val="0042466C"/>
    <w:rsid w:val="0042491A"/>
    <w:rsid w:val="00431E86"/>
    <w:rsid w:val="00435723"/>
    <w:rsid w:val="00436F73"/>
    <w:rsid w:val="00440124"/>
    <w:rsid w:val="004408E0"/>
    <w:rsid w:val="00441703"/>
    <w:rsid w:val="00441B2D"/>
    <w:rsid w:val="00443381"/>
    <w:rsid w:val="0044481F"/>
    <w:rsid w:val="0044590B"/>
    <w:rsid w:val="004478A7"/>
    <w:rsid w:val="00451304"/>
    <w:rsid w:val="00453F86"/>
    <w:rsid w:val="00454136"/>
    <w:rsid w:val="004632BA"/>
    <w:rsid w:val="00465600"/>
    <w:rsid w:val="00466E3F"/>
    <w:rsid w:val="004710F3"/>
    <w:rsid w:val="00471DC4"/>
    <w:rsid w:val="0047405C"/>
    <w:rsid w:val="004740AF"/>
    <w:rsid w:val="00474183"/>
    <w:rsid w:val="004752DC"/>
    <w:rsid w:val="004765E0"/>
    <w:rsid w:val="00480A3E"/>
    <w:rsid w:val="00482CB4"/>
    <w:rsid w:val="0048386C"/>
    <w:rsid w:val="004840C8"/>
    <w:rsid w:val="00484CE1"/>
    <w:rsid w:val="00491A91"/>
    <w:rsid w:val="00497287"/>
    <w:rsid w:val="004A0BD6"/>
    <w:rsid w:val="004A3FDF"/>
    <w:rsid w:val="004B0676"/>
    <w:rsid w:val="004B53C9"/>
    <w:rsid w:val="004B7904"/>
    <w:rsid w:val="004C1033"/>
    <w:rsid w:val="004C1548"/>
    <w:rsid w:val="004C2C53"/>
    <w:rsid w:val="004C38CA"/>
    <w:rsid w:val="004C3B85"/>
    <w:rsid w:val="004C5AE1"/>
    <w:rsid w:val="004C644B"/>
    <w:rsid w:val="004C6C85"/>
    <w:rsid w:val="004C7685"/>
    <w:rsid w:val="004D1F36"/>
    <w:rsid w:val="004D2EBB"/>
    <w:rsid w:val="004D6CB2"/>
    <w:rsid w:val="004D7065"/>
    <w:rsid w:val="004F1072"/>
    <w:rsid w:val="004F1389"/>
    <w:rsid w:val="004F23B7"/>
    <w:rsid w:val="004F42D4"/>
    <w:rsid w:val="004F6591"/>
    <w:rsid w:val="004F65F3"/>
    <w:rsid w:val="004F6AA2"/>
    <w:rsid w:val="004F7672"/>
    <w:rsid w:val="00502CDE"/>
    <w:rsid w:val="00504061"/>
    <w:rsid w:val="005049FA"/>
    <w:rsid w:val="00505CF4"/>
    <w:rsid w:val="00505E1D"/>
    <w:rsid w:val="00505F71"/>
    <w:rsid w:val="005060A5"/>
    <w:rsid w:val="00506B30"/>
    <w:rsid w:val="00507412"/>
    <w:rsid w:val="0051453A"/>
    <w:rsid w:val="00516193"/>
    <w:rsid w:val="005169A1"/>
    <w:rsid w:val="00523514"/>
    <w:rsid w:val="00524602"/>
    <w:rsid w:val="00525033"/>
    <w:rsid w:val="0052653B"/>
    <w:rsid w:val="00532A8F"/>
    <w:rsid w:val="005336AC"/>
    <w:rsid w:val="00536F20"/>
    <w:rsid w:val="00541F2A"/>
    <w:rsid w:val="00544F0F"/>
    <w:rsid w:val="00545A54"/>
    <w:rsid w:val="005472C6"/>
    <w:rsid w:val="00547C01"/>
    <w:rsid w:val="0055139F"/>
    <w:rsid w:val="0055455F"/>
    <w:rsid w:val="00556A10"/>
    <w:rsid w:val="00557A42"/>
    <w:rsid w:val="0056207F"/>
    <w:rsid w:val="00565565"/>
    <w:rsid w:val="0057188E"/>
    <w:rsid w:val="00574C69"/>
    <w:rsid w:val="005764B8"/>
    <w:rsid w:val="00577426"/>
    <w:rsid w:val="00581288"/>
    <w:rsid w:val="00583F2B"/>
    <w:rsid w:val="005927DA"/>
    <w:rsid w:val="005935B6"/>
    <w:rsid w:val="00593C4B"/>
    <w:rsid w:val="0059420F"/>
    <w:rsid w:val="0059433C"/>
    <w:rsid w:val="00594A68"/>
    <w:rsid w:val="00594F16"/>
    <w:rsid w:val="005A17E8"/>
    <w:rsid w:val="005A1B8E"/>
    <w:rsid w:val="005A2B69"/>
    <w:rsid w:val="005A32FF"/>
    <w:rsid w:val="005A3337"/>
    <w:rsid w:val="005B18E8"/>
    <w:rsid w:val="005B39C9"/>
    <w:rsid w:val="005B47CE"/>
    <w:rsid w:val="005B5A42"/>
    <w:rsid w:val="005B789F"/>
    <w:rsid w:val="005B7B0F"/>
    <w:rsid w:val="005C006A"/>
    <w:rsid w:val="005C0073"/>
    <w:rsid w:val="005C040D"/>
    <w:rsid w:val="005C14DE"/>
    <w:rsid w:val="005C222C"/>
    <w:rsid w:val="005C7946"/>
    <w:rsid w:val="005D132E"/>
    <w:rsid w:val="005D1F1B"/>
    <w:rsid w:val="005D5EC6"/>
    <w:rsid w:val="005E06B3"/>
    <w:rsid w:val="005E2D6C"/>
    <w:rsid w:val="005E5010"/>
    <w:rsid w:val="005E6993"/>
    <w:rsid w:val="005E71B4"/>
    <w:rsid w:val="005F2772"/>
    <w:rsid w:val="00600674"/>
    <w:rsid w:val="0060162E"/>
    <w:rsid w:val="00604E3C"/>
    <w:rsid w:val="00607E1B"/>
    <w:rsid w:val="0061200E"/>
    <w:rsid w:val="00614A17"/>
    <w:rsid w:val="006150F1"/>
    <w:rsid w:val="0061701C"/>
    <w:rsid w:val="00623695"/>
    <w:rsid w:val="0062388A"/>
    <w:rsid w:val="00624205"/>
    <w:rsid w:val="00624853"/>
    <w:rsid w:val="00627831"/>
    <w:rsid w:val="00630299"/>
    <w:rsid w:val="006328A2"/>
    <w:rsid w:val="0063559E"/>
    <w:rsid w:val="00636E50"/>
    <w:rsid w:val="0064224A"/>
    <w:rsid w:val="00647355"/>
    <w:rsid w:val="0065093F"/>
    <w:rsid w:val="006509AF"/>
    <w:rsid w:val="0065115D"/>
    <w:rsid w:val="00652B89"/>
    <w:rsid w:val="00653E08"/>
    <w:rsid w:val="00655317"/>
    <w:rsid w:val="006577FB"/>
    <w:rsid w:val="00661244"/>
    <w:rsid w:val="00661EDC"/>
    <w:rsid w:val="00663C09"/>
    <w:rsid w:val="0066557D"/>
    <w:rsid w:val="00670F55"/>
    <w:rsid w:val="00671422"/>
    <w:rsid w:val="006741B9"/>
    <w:rsid w:val="00681038"/>
    <w:rsid w:val="00683063"/>
    <w:rsid w:val="006865C8"/>
    <w:rsid w:val="00692C0D"/>
    <w:rsid w:val="00697A1D"/>
    <w:rsid w:val="006A5C39"/>
    <w:rsid w:val="006B2950"/>
    <w:rsid w:val="006B47EF"/>
    <w:rsid w:val="006B5DC7"/>
    <w:rsid w:val="006B5FD1"/>
    <w:rsid w:val="006C0A7B"/>
    <w:rsid w:val="006C2863"/>
    <w:rsid w:val="006C3606"/>
    <w:rsid w:val="006C51D2"/>
    <w:rsid w:val="006C5758"/>
    <w:rsid w:val="006D6DE0"/>
    <w:rsid w:val="006D70AC"/>
    <w:rsid w:val="006D7A64"/>
    <w:rsid w:val="006E2571"/>
    <w:rsid w:val="006E343E"/>
    <w:rsid w:val="006E715C"/>
    <w:rsid w:val="006E7E69"/>
    <w:rsid w:val="006F1385"/>
    <w:rsid w:val="00702148"/>
    <w:rsid w:val="00703FA5"/>
    <w:rsid w:val="00706A23"/>
    <w:rsid w:val="00725067"/>
    <w:rsid w:val="00743AAF"/>
    <w:rsid w:val="00743EF0"/>
    <w:rsid w:val="007460B1"/>
    <w:rsid w:val="00747BA9"/>
    <w:rsid w:val="00760E28"/>
    <w:rsid w:val="0076763B"/>
    <w:rsid w:val="00767F0E"/>
    <w:rsid w:val="00773E64"/>
    <w:rsid w:val="00775202"/>
    <w:rsid w:val="0077659D"/>
    <w:rsid w:val="0078090B"/>
    <w:rsid w:val="00781648"/>
    <w:rsid w:val="0078172D"/>
    <w:rsid w:val="0078460A"/>
    <w:rsid w:val="0079565D"/>
    <w:rsid w:val="007961DB"/>
    <w:rsid w:val="007A0D4A"/>
    <w:rsid w:val="007A4235"/>
    <w:rsid w:val="007B2302"/>
    <w:rsid w:val="007B7E59"/>
    <w:rsid w:val="007C177B"/>
    <w:rsid w:val="007C5072"/>
    <w:rsid w:val="007C5746"/>
    <w:rsid w:val="007C63EA"/>
    <w:rsid w:val="007C697C"/>
    <w:rsid w:val="007D16B3"/>
    <w:rsid w:val="007D5458"/>
    <w:rsid w:val="007E1B27"/>
    <w:rsid w:val="007E2729"/>
    <w:rsid w:val="007E4523"/>
    <w:rsid w:val="007E773F"/>
    <w:rsid w:val="007F2FE9"/>
    <w:rsid w:val="007F4AE5"/>
    <w:rsid w:val="007F62CA"/>
    <w:rsid w:val="007F7813"/>
    <w:rsid w:val="0080158A"/>
    <w:rsid w:val="0080556F"/>
    <w:rsid w:val="00805576"/>
    <w:rsid w:val="008056C4"/>
    <w:rsid w:val="00813BBD"/>
    <w:rsid w:val="008148EA"/>
    <w:rsid w:val="00814904"/>
    <w:rsid w:val="0081659D"/>
    <w:rsid w:val="00816716"/>
    <w:rsid w:val="008173E9"/>
    <w:rsid w:val="00820ABD"/>
    <w:rsid w:val="0082110E"/>
    <w:rsid w:val="00821472"/>
    <w:rsid w:val="00824159"/>
    <w:rsid w:val="0082551B"/>
    <w:rsid w:val="00826C63"/>
    <w:rsid w:val="00830EA1"/>
    <w:rsid w:val="00831740"/>
    <w:rsid w:val="00832729"/>
    <w:rsid w:val="00841770"/>
    <w:rsid w:val="00842BDD"/>
    <w:rsid w:val="00847231"/>
    <w:rsid w:val="00847D00"/>
    <w:rsid w:val="008521F3"/>
    <w:rsid w:val="0085520A"/>
    <w:rsid w:val="00856BD0"/>
    <w:rsid w:val="0086179E"/>
    <w:rsid w:val="008648C4"/>
    <w:rsid w:val="00871986"/>
    <w:rsid w:val="00874896"/>
    <w:rsid w:val="0087508A"/>
    <w:rsid w:val="00882F08"/>
    <w:rsid w:val="008927B9"/>
    <w:rsid w:val="00894F74"/>
    <w:rsid w:val="008A01BC"/>
    <w:rsid w:val="008A15D0"/>
    <w:rsid w:val="008A1F77"/>
    <w:rsid w:val="008A254B"/>
    <w:rsid w:val="008A3E0F"/>
    <w:rsid w:val="008A549B"/>
    <w:rsid w:val="008B02CB"/>
    <w:rsid w:val="008B4424"/>
    <w:rsid w:val="008B6942"/>
    <w:rsid w:val="008C0209"/>
    <w:rsid w:val="008C0EDE"/>
    <w:rsid w:val="008C5FC0"/>
    <w:rsid w:val="008C6670"/>
    <w:rsid w:val="008C75B5"/>
    <w:rsid w:val="008C7BFE"/>
    <w:rsid w:val="008D279E"/>
    <w:rsid w:val="008D3ECE"/>
    <w:rsid w:val="008D4F3D"/>
    <w:rsid w:val="008D6DE1"/>
    <w:rsid w:val="008E0972"/>
    <w:rsid w:val="008E6B93"/>
    <w:rsid w:val="008E6EBF"/>
    <w:rsid w:val="008F1792"/>
    <w:rsid w:val="008F1918"/>
    <w:rsid w:val="008F4DAE"/>
    <w:rsid w:val="008F6A1D"/>
    <w:rsid w:val="008F6EF9"/>
    <w:rsid w:val="00900543"/>
    <w:rsid w:val="00902B54"/>
    <w:rsid w:val="0090543C"/>
    <w:rsid w:val="009130BB"/>
    <w:rsid w:val="00915DE2"/>
    <w:rsid w:val="00915E22"/>
    <w:rsid w:val="0092391F"/>
    <w:rsid w:val="00924D85"/>
    <w:rsid w:val="009278DD"/>
    <w:rsid w:val="00931A72"/>
    <w:rsid w:val="00936FE2"/>
    <w:rsid w:val="00944F5B"/>
    <w:rsid w:val="00945A4A"/>
    <w:rsid w:val="0094662F"/>
    <w:rsid w:val="009513D3"/>
    <w:rsid w:val="00952C33"/>
    <w:rsid w:val="00952FE6"/>
    <w:rsid w:val="00953BC3"/>
    <w:rsid w:val="00954244"/>
    <w:rsid w:val="00955501"/>
    <w:rsid w:val="009625A5"/>
    <w:rsid w:val="00964111"/>
    <w:rsid w:val="00967687"/>
    <w:rsid w:val="009679DF"/>
    <w:rsid w:val="00967C28"/>
    <w:rsid w:val="0097406D"/>
    <w:rsid w:val="0097674B"/>
    <w:rsid w:val="0097686D"/>
    <w:rsid w:val="009774B7"/>
    <w:rsid w:val="009778B8"/>
    <w:rsid w:val="00987237"/>
    <w:rsid w:val="00991ABA"/>
    <w:rsid w:val="009A0E53"/>
    <w:rsid w:val="009A252C"/>
    <w:rsid w:val="009A3F39"/>
    <w:rsid w:val="009A5A4E"/>
    <w:rsid w:val="009A798E"/>
    <w:rsid w:val="009B0FE0"/>
    <w:rsid w:val="009B10FB"/>
    <w:rsid w:val="009B1F59"/>
    <w:rsid w:val="009B485F"/>
    <w:rsid w:val="009B5E89"/>
    <w:rsid w:val="009B6000"/>
    <w:rsid w:val="009B63BF"/>
    <w:rsid w:val="009C0456"/>
    <w:rsid w:val="009C188A"/>
    <w:rsid w:val="009D03C8"/>
    <w:rsid w:val="009D1D8A"/>
    <w:rsid w:val="009D48FF"/>
    <w:rsid w:val="009E24C6"/>
    <w:rsid w:val="009E4F71"/>
    <w:rsid w:val="009E6840"/>
    <w:rsid w:val="009E73BD"/>
    <w:rsid w:val="009F27BB"/>
    <w:rsid w:val="009F3B12"/>
    <w:rsid w:val="009F5EC3"/>
    <w:rsid w:val="00A02B2E"/>
    <w:rsid w:val="00A0731F"/>
    <w:rsid w:val="00A07404"/>
    <w:rsid w:val="00A151CD"/>
    <w:rsid w:val="00A205BC"/>
    <w:rsid w:val="00A210BC"/>
    <w:rsid w:val="00A21DE1"/>
    <w:rsid w:val="00A235CC"/>
    <w:rsid w:val="00A27628"/>
    <w:rsid w:val="00A319B0"/>
    <w:rsid w:val="00A36CAB"/>
    <w:rsid w:val="00A42462"/>
    <w:rsid w:val="00A425B9"/>
    <w:rsid w:val="00A436E2"/>
    <w:rsid w:val="00A44792"/>
    <w:rsid w:val="00A4738E"/>
    <w:rsid w:val="00A530C8"/>
    <w:rsid w:val="00A556EF"/>
    <w:rsid w:val="00A55EF1"/>
    <w:rsid w:val="00A61AFA"/>
    <w:rsid w:val="00A61DB2"/>
    <w:rsid w:val="00A61DCE"/>
    <w:rsid w:val="00A62C79"/>
    <w:rsid w:val="00A6475C"/>
    <w:rsid w:val="00A6641E"/>
    <w:rsid w:val="00A705D0"/>
    <w:rsid w:val="00A7399F"/>
    <w:rsid w:val="00A75487"/>
    <w:rsid w:val="00A80737"/>
    <w:rsid w:val="00A81BEC"/>
    <w:rsid w:val="00A846DD"/>
    <w:rsid w:val="00A90DD9"/>
    <w:rsid w:val="00A91F4A"/>
    <w:rsid w:val="00A9207C"/>
    <w:rsid w:val="00A976B9"/>
    <w:rsid w:val="00AA1EAD"/>
    <w:rsid w:val="00AA681F"/>
    <w:rsid w:val="00AA7DDE"/>
    <w:rsid w:val="00AA7DEF"/>
    <w:rsid w:val="00AB1E91"/>
    <w:rsid w:val="00AB3867"/>
    <w:rsid w:val="00AC03AA"/>
    <w:rsid w:val="00AC729C"/>
    <w:rsid w:val="00AC7FD3"/>
    <w:rsid w:val="00AD1324"/>
    <w:rsid w:val="00AD53F8"/>
    <w:rsid w:val="00AE16B9"/>
    <w:rsid w:val="00AE2C48"/>
    <w:rsid w:val="00AF213B"/>
    <w:rsid w:val="00AF351F"/>
    <w:rsid w:val="00AF3675"/>
    <w:rsid w:val="00AF4332"/>
    <w:rsid w:val="00AF5587"/>
    <w:rsid w:val="00AF6131"/>
    <w:rsid w:val="00AF6AD9"/>
    <w:rsid w:val="00AF720D"/>
    <w:rsid w:val="00B013FE"/>
    <w:rsid w:val="00B056BA"/>
    <w:rsid w:val="00B10FED"/>
    <w:rsid w:val="00B121F4"/>
    <w:rsid w:val="00B16C10"/>
    <w:rsid w:val="00B20089"/>
    <w:rsid w:val="00B21297"/>
    <w:rsid w:val="00B2185F"/>
    <w:rsid w:val="00B2467F"/>
    <w:rsid w:val="00B2594F"/>
    <w:rsid w:val="00B3025E"/>
    <w:rsid w:val="00B3375D"/>
    <w:rsid w:val="00B3578F"/>
    <w:rsid w:val="00B36896"/>
    <w:rsid w:val="00B374B5"/>
    <w:rsid w:val="00B4265E"/>
    <w:rsid w:val="00B42AA6"/>
    <w:rsid w:val="00B44BFF"/>
    <w:rsid w:val="00B47C17"/>
    <w:rsid w:val="00B609D7"/>
    <w:rsid w:val="00B61F61"/>
    <w:rsid w:val="00B6274B"/>
    <w:rsid w:val="00B7026A"/>
    <w:rsid w:val="00B72798"/>
    <w:rsid w:val="00B7298F"/>
    <w:rsid w:val="00B72A08"/>
    <w:rsid w:val="00B72B49"/>
    <w:rsid w:val="00B74779"/>
    <w:rsid w:val="00B74EC8"/>
    <w:rsid w:val="00B766D1"/>
    <w:rsid w:val="00B77E98"/>
    <w:rsid w:val="00B77ECF"/>
    <w:rsid w:val="00B84329"/>
    <w:rsid w:val="00B91886"/>
    <w:rsid w:val="00B958CD"/>
    <w:rsid w:val="00B96AEE"/>
    <w:rsid w:val="00BA16E2"/>
    <w:rsid w:val="00BA3890"/>
    <w:rsid w:val="00BA3BED"/>
    <w:rsid w:val="00BB1463"/>
    <w:rsid w:val="00BB18AA"/>
    <w:rsid w:val="00BB3342"/>
    <w:rsid w:val="00BB71C0"/>
    <w:rsid w:val="00BB78E5"/>
    <w:rsid w:val="00BC0FFC"/>
    <w:rsid w:val="00BC1378"/>
    <w:rsid w:val="00BC6600"/>
    <w:rsid w:val="00BC6C02"/>
    <w:rsid w:val="00BC6E2B"/>
    <w:rsid w:val="00BD1BE7"/>
    <w:rsid w:val="00BD1D09"/>
    <w:rsid w:val="00BD3997"/>
    <w:rsid w:val="00BD6733"/>
    <w:rsid w:val="00BE0379"/>
    <w:rsid w:val="00BE2E35"/>
    <w:rsid w:val="00BE7BD5"/>
    <w:rsid w:val="00BF2574"/>
    <w:rsid w:val="00BF3202"/>
    <w:rsid w:val="00BF3820"/>
    <w:rsid w:val="00BF4CF2"/>
    <w:rsid w:val="00C020D9"/>
    <w:rsid w:val="00C022A4"/>
    <w:rsid w:val="00C02FD7"/>
    <w:rsid w:val="00C03CD1"/>
    <w:rsid w:val="00C04424"/>
    <w:rsid w:val="00C04656"/>
    <w:rsid w:val="00C0491E"/>
    <w:rsid w:val="00C04B36"/>
    <w:rsid w:val="00C06B70"/>
    <w:rsid w:val="00C10262"/>
    <w:rsid w:val="00C11035"/>
    <w:rsid w:val="00C23622"/>
    <w:rsid w:val="00C23D26"/>
    <w:rsid w:val="00C24DBD"/>
    <w:rsid w:val="00C24DFD"/>
    <w:rsid w:val="00C263E5"/>
    <w:rsid w:val="00C27170"/>
    <w:rsid w:val="00C27E0E"/>
    <w:rsid w:val="00C3596E"/>
    <w:rsid w:val="00C36BFD"/>
    <w:rsid w:val="00C44E34"/>
    <w:rsid w:val="00C47E07"/>
    <w:rsid w:val="00C518FE"/>
    <w:rsid w:val="00C52DFA"/>
    <w:rsid w:val="00C53F2A"/>
    <w:rsid w:val="00C56F83"/>
    <w:rsid w:val="00C66305"/>
    <w:rsid w:val="00C72271"/>
    <w:rsid w:val="00C778FD"/>
    <w:rsid w:val="00C8038B"/>
    <w:rsid w:val="00C8106E"/>
    <w:rsid w:val="00C844A3"/>
    <w:rsid w:val="00C869B5"/>
    <w:rsid w:val="00C879EF"/>
    <w:rsid w:val="00C9104F"/>
    <w:rsid w:val="00C94BA7"/>
    <w:rsid w:val="00C97137"/>
    <w:rsid w:val="00C971EE"/>
    <w:rsid w:val="00CA031F"/>
    <w:rsid w:val="00CA067A"/>
    <w:rsid w:val="00CA4828"/>
    <w:rsid w:val="00CA5160"/>
    <w:rsid w:val="00CB0F33"/>
    <w:rsid w:val="00CB13F8"/>
    <w:rsid w:val="00CB180C"/>
    <w:rsid w:val="00CB48CC"/>
    <w:rsid w:val="00CB590A"/>
    <w:rsid w:val="00CC4F21"/>
    <w:rsid w:val="00CC6E9B"/>
    <w:rsid w:val="00CC7D8F"/>
    <w:rsid w:val="00CD01FA"/>
    <w:rsid w:val="00CD1133"/>
    <w:rsid w:val="00CE04A3"/>
    <w:rsid w:val="00CE1F29"/>
    <w:rsid w:val="00CE2F92"/>
    <w:rsid w:val="00CE5A92"/>
    <w:rsid w:val="00CE7A1D"/>
    <w:rsid w:val="00CF3DD9"/>
    <w:rsid w:val="00D01961"/>
    <w:rsid w:val="00D03F1E"/>
    <w:rsid w:val="00D042A9"/>
    <w:rsid w:val="00D050FD"/>
    <w:rsid w:val="00D12D56"/>
    <w:rsid w:val="00D141BB"/>
    <w:rsid w:val="00D1430A"/>
    <w:rsid w:val="00D257B8"/>
    <w:rsid w:val="00D259E4"/>
    <w:rsid w:val="00D25BF1"/>
    <w:rsid w:val="00D26610"/>
    <w:rsid w:val="00D33133"/>
    <w:rsid w:val="00D338F4"/>
    <w:rsid w:val="00D33BF8"/>
    <w:rsid w:val="00D410DC"/>
    <w:rsid w:val="00D41152"/>
    <w:rsid w:val="00D43817"/>
    <w:rsid w:val="00D44BB7"/>
    <w:rsid w:val="00D46EEF"/>
    <w:rsid w:val="00D500FC"/>
    <w:rsid w:val="00D544A9"/>
    <w:rsid w:val="00D55675"/>
    <w:rsid w:val="00D62551"/>
    <w:rsid w:val="00D64876"/>
    <w:rsid w:val="00D64B0C"/>
    <w:rsid w:val="00D70FF8"/>
    <w:rsid w:val="00D7202D"/>
    <w:rsid w:val="00D720A8"/>
    <w:rsid w:val="00D74B6C"/>
    <w:rsid w:val="00D839D5"/>
    <w:rsid w:val="00D84B0B"/>
    <w:rsid w:val="00D85540"/>
    <w:rsid w:val="00D86A96"/>
    <w:rsid w:val="00D87A03"/>
    <w:rsid w:val="00D87E05"/>
    <w:rsid w:val="00D95557"/>
    <w:rsid w:val="00D96203"/>
    <w:rsid w:val="00D96217"/>
    <w:rsid w:val="00D97ADD"/>
    <w:rsid w:val="00DA22E9"/>
    <w:rsid w:val="00DA2C01"/>
    <w:rsid w:val="00DA59EB"/>
    <w:rsid w:val="00DB2EA8"/>
    <w:rsid w:val="00DC043D"/>
    <w:rsid w:val="00DC2031"/>
    <w:rsid w:val="00DC3C77"/>
    <w:rsid w:val="00DC5BF0"/>
    <w:rsid w:val="00DC5FC5"/>
    <w:rsid w:val="00DD5AE3"/>
    <w:rsid w:val="00DE2592"/>
    <w:rsid w:val="00DE5892"/>
    <w:rsid w:val="00DF669F"/>
    <w:rsid w:val="00E000DD"/>
    <w:rsid w:val="00E02E50"/>
    <w:rsid w:val="00E0550A"/>
    <w:rsid w:val="00E05E38"/>
    <w:rsid w:val="00E11571"/>
    <w:rsid w:val="00E11D71"/>
    <w:rsid w:val="00E11E31"/>
    <w:rsid w:val="00E14A18"/>
    <w:rsid w:val="00E15F8B"/>
    <w:rsid w:val="00E24036"/>
    <w:rsid w:val="00E31FE8"/>
    <w:rsid w:val="00E337AC"/>
    <w:rsid w:val="00E36451"/>
    <w:rsid w:val="00E40378"/>
    <w:rsid w:val="00E4096E"/>
    <w:rsid w:val="00E4180C"/>
    <w:rsid w:val="00E41880"/>
    <w:rsid w:val="00E42860"/>
    <w:rsid w:val="00E42D13"/>
    <w:rsid w:val="00E42E4A"/>
    <w:rsid w:val="00E442AE"/>
    <w:rsid w:val="00E445C0"/>
    <w:rsid w:val="00E51619"/>
    <w:rsid w:val="00E536AD"/>
    <w:rsid w:val="00E615FD"/>
    <w:rsid w:val="00E6282C"/>
    <w:rsid w:val="00E62F28"/>
    <w:rsid w:val="00E671F0"/>
    <w:rsid w:val="00E72165"/>
    <w:rsid w:val="00E72BEE"/>
    <w:rsid w:val="00E803C3"/>
    <w:rsid w:val="00E81594"/>
    <w:rsid w:val="00E91CAA"/>
    <w:rsid w:val="00E95336"/>
    <w:rsid w:val="00E958A9"/>
    <w:rsid w:val="00EA048C"/>
    <w:rsid w:val="00EA4C73"/>
    <w:rsid w:val="00EA7A87"/>
    <w:rsid w:val="00EA7F27"/>
    <w:rsid w:val="00EB0509"/>
    <w:rsid w:val="00EB0C61"/>
    <w:rsid w:val="00EB17CA"/>
    <w:rsid w:val="00EB33ED"/>
    <w:rsid w:val="00EB43C8"/>
    <w:rsid w:val="00EB5379"/>
    <w:rsid w:val="00EC42A8"/>
    <w:rsid w:val="00EC4DF0"/>
    <w:rsid w:val="00EC5B37"/>
    <w:rsid w:val="00EC5CF1"/>
    <w:rsid w:val="00EC6068"/>
    <w:rsid w:val="00EC681C"/>
    <w:rsid w:val="00ED25E6"/>
    <w:rsid w:val="00ED39C6"/>
    <w:rsid w:val="00ED46A3"/>
    <w:rsid w:val="00ED5674"/>
    <w:rsid w:val="00EE0885"/>
    <w:rsid w:val="00EE246D"/>
    <w:rsid w:val="00EE7B40"/>
    <w:rsid w:val="00EE7F43"/>
    <w:rsid w:val="00EF0808"/>
    <w:rsid w:val="00EF0D77"/>
    <w:rsid w:val="00EF29D9"/>
    <w:rsid w:val="00EF4991"/>
    <w:rsid w:val="00EF61BA"/>
    <w:rsid w:val="00F01720"/>
    <w:rsid w:val="00F05FED"/>
    <w:rsid w:val="00F10676"/>
    <w:rsid w:val="00F110C2"/>
    <w:rsid w:val="00F1175F"/>
    <w:rsid w:val="00F14DFB"/>
    <w:rsid w:val="00F23DF5"/>
    <w:rsid w:val="00F275D8"/>
    <w:rsid w:val="00F311F9"/>
    <w:rsid w:val="00F32304"/>
    <w:rsid w:val="00F346B4"/>
    <w:rsid w:val="00F34B3A"/>
    <w:rsid w:val="00F36E4A"/>
    <w:rsid w:val="00F40CE8"/>
    <w:rsid w:val="00F4466E"/>
    <w:rsid w:val="00F46568"/>
    <w:rsid w:val="00F4712C"/>
    <w:rsid w:val="00F47465"/>
    <w:rsid w:val="00F504E6"/>
    <w:rsid w:val="00F53323"/>
    <w:rsid w:val="00F558C6"/>
    <w:rsid w:val="00F619D4"/>
    <w:rsid w:val="00F65AE5"/>
    <w:rsid w:val="00F715F1"/>
    <w:rsid w:val="00F7538E"/>
    <w:rsid w:val="00F85170"/>
    <w:rsid w:val="00F85A4F"/>
    <w:rsid w:val="00F8743B"/>
    <w:rsid w:val="00F94799"/>
    <w:rsid w:val="00FA15D7"/>
    <w:rsid w:val="00FA19EB"/>
    <w:rsid w:val="00FA2D21"/>
    <w:rsid w:val="00FA7440"/>
    <w:rsid w:val="00FB0E04"/>
    <w:rsid w:val="00FB27C8"/>
    <w:rsid w:val="00FB2CA9"/>
    <w:rsid w:val="00FB2CCE"/>
    <w:rsid w:val="00FB35EE"/>
    <w:rsid w:val="00FC137E"/>
    <w:rsid w:val="00FC7407"/>
    <w:rsid w:val="00FC7CCB"/>
    <w:rsid w:val="00FD2849"/>
    <w:rsid w:val="00FD3439"/>
    <w:rsid w:val="00FD4524"/>
    <w:rsid w:val="00FD6105"/>
    <w:rsid w:val="00FD6E3D"/>
    <w:rsid w:val="00FD6E4C"/>
    <w:rsid w:val="00FD73B8"/>
    <w:rsid w:val="00FD7FC7"/>
    <w:rsid w:val="00FE4F29"/>
    <w:rsid w:val="00FF6031"/>
    <w:rsid w:val="00FF709C"/>
    <w:rsid w:val="04583A5F"/>
    <w:rsid w:val="05321208"/>
    <w:rsid w:val="05991B92"/>
    <w:rsid w:val="082032B1"/>
    <w:rsid w:val="0C086989"/>
    <w:rsid w:val="0E122ED0"/>
    <w:rsid w:val="1204551A"/>
    <w:rsid w:val="18775F1E"/>
    <w:rsid w:val="1ADC038D"/>
    <w:rsid w:val="1F8D21E7"/>
    <w:rsid w:val="1F965D08"/>
    <w:rsid w:val="202E2E25"/>
    <w:rsid w:val="29474CAF"/>
    <w:rsid w:val="418D598C"/>
    <w:rsid w:val="45E561F9"/>
    <w:rsid w:val="46101F34"/>
    <w:rsid w:val="56BC542A"/>
    <w:rsid w:val="58CA1586"/>
    <w:rsid w:val="5C4001D5"/>
    <w:rsid w:val="614C1B52"/>
    <w:rsid w:val="6880208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fillcolor="white">
      <v:fill color="white"/>
    </o:shapedefaults>
    <o:shapelayout v:ext="edit">
      <o:idmap v:ext="edit" data="1"/>
    </o:shapelayout>
  </w:shapeDefaults>
  <w:decimalSymbol w:val="."/>
  <w:listSeparator w:val=","/>
  <w14:docId w14:val="00C77197"/>
  <w15:docId w15:val="{57A69174-CE30-485E-AD4F-3E4F93F008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eastAsia="Times New Roman"/>
      <w:sz w:val="24"/>
      <w:szCs w:val="24"/>
    </w:rPr>
  </w:style>
  <w:style w:type="paragraph" w:styleId="Heading1">
    <w:name w:val="heading 1"/>
    <w:basedOn w:val="Normal"/>
    <w:next w:val="Normal"/>
    <w:uiPriority w:val="9"/>
    <w:qFormat/>
    <w:pPr>
      <w:keepNext/>
      <w:jc w:val="both"/>
      <w:outlineLvl w:val="0"/>
    </w:pPr>
    <w:rPr>
      <w:rFonts w:ascii="Tahoma" w:eastAsia="Tahoma" w:hAnsi="Tahoma" w:cs="Tahoma"/>
      <w:b/>
      <w:sz w:val="22"/>
      <w:szCs w:val="22"/>
    </w:rPr>
  </w:style>
  <w:style w:type="paragraph" w:styleId="Heading2">
    <w:name w:val="heading 2"/>
    <w:basedOn w:val="Normal"/>
    <w:next w:val="Normal"/>
    <w:uiPriority w:val="9"/>
    <w:semiHidden/>
    <w:unhideWhenUsed/>
    <w:qFormat/>
    <w:pPr>
      <w:keepNext/>
      <w:jc w:val="center"/>
      <w:outlineLvl w:val="1"/>
    </w:pPr>
    <w:rPr>
      <w:rFonts w:ascii="Tahoma" w:eastAsia="Tahoma" w:hAnsi="Tahoma" w:cs="Tahoma"/>
      <w:b/>
      <w:sz w:val="22"/>
      <w:szCs w:val="22"/>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Pr>
      <w:rFonts w:ascii="Segoe UI" w:hAnsi="Segoe UI" w:cs="Segoe UI"/>
      <w:sz w:val="18"/>
      <w:szCs w:val="18"/>
    </w:rPr>
  </w:style>
  <w:style w:type="character" w:styleId="CommentReference">
    <w:name w:val="annotation reference"/>
    <w:basedOn w:val="DefaultParagraphFont"/>
    <w:uiPriority w:val="99"/>
    <w:semiHidden/>
    <w:unhideWhenUsed/>
    <w:qFormat/>
    <w:rPr>
      <w:sz w:val="16"/>
      <w:szCs w:val="16"/>
    </w:rPr>
  </w:style>
  <w:style w:type="paragraph" w:styleId="CommentText">
    <w:name w:val="annotation text"/>
    <w:basedOn w:val="Normal"/>
    <w:link w:val="CommentTextChar"/>
    <w:uiPriority w:val="99"/>
    <w:semiHidden/>
    <w:unhideWhenUsed/>
    <w:qFormat/>
    <w:rPr>
      <w:sz w:val="20"/>
      <w:szCs w:val="20"/>
    </w:rPr>
  </w:style>
  <w:style w:type="paragraph" w:styleId="CommentSubject">
    <w:name w:val="annotation subject"/>
    <w:basedOn w:val="CommentText"/>
    <w:next w:val="CommentText"/>
    <w:link w:val="CommentSubjectChar"/>
    <w:uiPriority w:val="99"/>
    <w:semiHidden/>
    <w:unhideWhenUsed/>
    <w:qFormat/>
    <w:rPr>
      <w:b/>
      <w:bCs/>
    </w:rPr>
  </w:style>
  <w:style w:type="paragraph" w:styleId="Footer">
    <w:name w:val="footer"/>
    <w:basedOn w:val="Normal"/>
    <w:link w:val="FooterChar"/>
    <w:uiPriority w:val="99"/>
    <w:unhideWhenUsed/>
    <w:qFormat/>
    <w:pPr>
      <w:tabs>
        <w:tab w:val="center" w:pos="4680"/>
        <w:tab w:val="right" w:pos="9360"/>
      </w:tabs>
    </w:pPr>
  </w:style>
  <w:style w:type="paragraph" w:styleId="Header">
    <w:name w:val="header"/>
    <w:basedOn w:val="Normal"/>
    <w:link w:val="HeaderChar"/>
    <w:uiPriority w:val="99"/>
    <w:unhideWhenUsed/>
    <w:qFormat/>
    <w:pPr>
      <w:tabs>
        <w:tab w:val="center" w:pos="4680"/>
        <w:tab w:val="right" w:pos="9360"/>
      </w:tabs>
    </w:p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Title">
    <w:name w:val="Title"/>
    <w:basedOn w:val="Normal"/>
    <w:next w:val="Normal"/>
    <w:uiPriority w:val="10"/>
    <w:qFormat/>
    <w:pPr>
      <w:keepNext/>
      <w:keepLines/>
      <w:spacing w:before="480" w:after="120"/>
    </w:pPr>
    <w:rPr>
      <w:b/>
      <w:sz w:val="72"/>
      <w:szCs w:val="72"/>
    </w:rPr>
  </w:style>
  <w:style w:type="table" w:customStyle="1" w:styleId="Style11">
    <w:name w:val="_Style 11"/>
    <w:basedOn w:val="TableNormal"/>
    <w:qFormat/>
    <w:rPr>
      <w:rFonts w:ascii="Calibri" w:eastAsia="Calibri" w:hAnsi="Calibri" w:cs="Calibri"/>
      <w:color w:val="000000"/>
      <w:sz w:val="22"/>
      <w:szCs w:val="22"/>
    </w:rPr>
    <w:tblPr>
      <w:tblInd w:w="0" w:type="dxa"/>
      <w:tblCellMar>
        <w:top w:w="0" w:type="dxa"/>
        <w:left w:w="108" w:type="dxa"/>
        <w:bottom w:w="0" w:type="dxa"/>
        <w:right w:w="108" w:type="dxa"/>
      </w:tblCellMar>
    </w:tblPr>
  </w:style>
  <w:style w:type="table" w:customStyle="1" w:styleId="Style12">
    <w:name w:val="_Style 12"/>
    <w:basedOn w:val="TableNormal"/>
    <w:qFormat/>
    <w:rPr>
      <w:rFonts w:ascii="Calibri" w:eastAsia="Calibri" w:hAnsi="Calibri" w:cs="Calibri"/>
      <w:color w:val="000000"/>
      <w:sz w:val="22"/>
      <w:szCs w:val="22"/>
    </w:rPr>
    <w:tblPr>
      <w:tblInd w:w="0" w:type="dxa"/>
      <w:tblCellMar>
        <w:top w:w="0" w:type="dxa"/>
        <w:left w:w="108" w:type="dxa"/>
        <w:bottom w:w="0" w:type="dxa"/>
        <w:right w:w="108" w:type="dxa"/>
      </w:tblCellMar>
    </w:tblPr>
  </w:style>
  <w:style w:type="character" w:customStyle="1" w:styleId="CommentTextChar">
    <w:name w:val="Comment Text Char"/>
    <w:basedOn w:val="DefaultParagraphFont"/>
    <w:link w:val="CommentText"/>
    <w:uiPriority w:val="99"/>
    <w:semiHidden/>
    <w:qFormat/>
    <w:rPr>
      <w:sz w:val="20"/>
      <w:szCs w:val="20"/>
    </w:rPr>
  </w:style>
  <w:style w:type="character" w:customStyle="1" w:styleId="CommentSubjectChar">
    <w:name w:val="Comment Subject Char"/>
    <w:basedOn w:val="CommentTextChar"/>
    <w:link w:val="CommentSubject"/>
    <w:uiPriority w:val="99"/>
    <w:semiHidden/>
    <w:qFormat/>
    <w:rPr>
      <w:b/>
      <w:bCs/>
      <w:sz w:val="20"/>
      <w:szCs w:val="20"/>
    </w:rPr>
  </w:style>
  <w:style w:type="character" w:customStyle="1" w:styleId="BalloonTextChar">
    <w:name w:val="Balloon Text Char"/>
    <w:basedOn w:val="DefaultParagraphFont"/>
    <w:link w:val="BalloonText"/>
    <w:uiPriority w:val="99"/>
    <w:semiHidden/>
    <w:qFormat/>
    <w:rPr>
      <w:rFonts w:ascii="Segoe UI" w:hAnsi="Segoe UI" w:cs="Segoe UI"/>
      <w:sz w:val="18"/>
      <w:szCs w:val="18"/>
    </w:rPr>
  </w:style>
  <w:style w:type="paragraph" w:styleId="ListParagraph">
    <w:name w:val="List Paragraph"/>
    <w:basedOn w:val="Normal"/>
    <w:uiPriority w:val="34"/>
    <w:qFormat/>
    <w:pPr>
      <w:ind w:left="720"/>
      <w:contextualSpacing/>
    </w:p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table" w:styleId="TableGrid">
    <w:name w:val="Table Grid"/>
    <w:basedOn w:val="TableNormal"/>
    <w:uiPriority w:val="39"/>
    <w:rsid w:val="00C53F2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2308076">
      <w:bodyDiv w:val="1"/>
      <w:marLeft w:val="0"/>
      <w:marRight w:val="0"/>
      <w:marTop w:val="0"/>
      <w:marBottom w:val="0"/>
      <w:divBdr>
        <w:top w:val="none" w:sz="0" w:space="0" w:color="auto"/>
        <w:left w:val="none" w:sz="0" w:space="0" w:color="auto"/>
        <w:bottom w:val="none" w:sz="0" w:space="0" w:color="auto"/>
        <w:right w:val="none" w:sz="0" w:space="0" w:color="auto"/>
      </w:divBdr>
    </w:div>
    <w:div w:id="198278944">
      <w:bodyDiv w:val="1"/>
      <w:marLeft w:val="0"/>
      <w:marRight w:val="0"/>
      <w:marTop w:val="0"/>
      <w:marBottom w:val="0"/>
      <w:divBdr>
        <w:top w:val="none" w:sz="0" w:space="0" w:color="auto"/>
        <w:left w:val="none" w:sz="0" w:space="0" w:color="auto"/>
        <w:bottom w:val="none" w:sz="0" w:space="0" w:color="auto"/>
        <w:right w:val="none" w:sz="0" w:space="0" w:color="auto"/>
      </w:divBdr>
    </w:div>
    <w:div w:id="327824941">
      <w:bodyDiv w:val="1"/>
      <w:marLeft w:val="0"/>
      <w:marRight w:val="0"/>
      <w:marTop w:val="0"/>
      <w:marBottom w:val="0"/>
      <w:divBdr>
        <w:top w:val="none" w:sz="0" w:space="0" w:color="auto"/>
        <w:left w:val="none" w:sz="0" w:space="0" w:color="auto"/>
        <w:bottom w:val="none" w:sz="0" w:space="0" w:color="auto"/>
        <w:right w:val="none" w:sz="0" w:space="0" w:color="auto"/>
      </w:divBdr>
    </w:div>
    <w:div w:id="408819165">
      <w:bodyDiv w:val="1"/>
      <w:marLeft w:val="0"/>
      <w:marRight w:val="0"/>
      <w:marTop w:val="0"/>
      <w:marBottom w:val="0"/>
      <w:divBdr>
        <w:top w:val="none" w:sz="0" w:space="0" w:color="auto"/>
        <w:left w:val="none" w:sz="0" w:space="0" w:color="auto"/>
        <w:bottom w:val="none" w:sz="0" w:space="0" w:color="auto"/>
        <w:right w:val="none" w:sz="0" w:space="0" w:color="auto"/>
      </w:divBdr>
    </w:div>
    <w:div w:id="642002078">
      <w:bodyDiv w:val="1"/>
      <w:marLeft w:val="0"/>
      <w:marRight w:val="0"/>
      <w:marTop w:val="0"/>
      <w:marBottom w:val="0"/>
      <w:divBdr>
        <w:top w:val="none" w:sz="0" w:space="0" w:color="auto"/>
        <w:left w:val="none" w:sz="0" w:space="0" w:color="auto"/>
        <w:bottom w:val="none" w:sz="0" w:space="0" w:color="auto"/>
        <w:right w:val="none" w:sz="0" w:space="0" w:color="auto"/>
      </w:divBdr>
    </w:div>
    <w:div w:id="681860557">
      <w:bodyDiv w:val="1"/>
      <w:marLeft w:val="0"/>
      <w:marRight w:val="0"/>
      <w:marTop w:val="0"/>
      <w:marBottom w:val="0"/>
      <w:divBdr>
        <w:top w:val="none" w:sz="0" w:space="0" w:color="auto"/>
        <w:left w:val="none" w:sz="0" w:space="0" w:color="auto"/>
        <w:bottom w:val="none" w:sz="0" w:space="0" w:color="auto"/>
        <w:right w:val="none" w:sz="0" w:space="0" w:color="auto"/>
      </w:divBdr>
    </w:div>
    <w:div w:id="699280436">
      <w:bodyDiv w:val="1"/>
      <w:marLeft w:val="0"/>
      <w:marRight w:val="0"/>
      <w:marTop w:val="0"/>
      <w:marBottom w:val="0"/>
      <w:divBdr>
        <w:top w:val="none" w:sz="0" w:space="0" w:color="auto"/>
        <w:left w:val="none" w:sz="0" w:space="0" w:color="auto"/>
        <w:bottom w:val="none" w:sz="0" w:space="0" w:color="auto"/>
        <w:right w:val="none" w:sz="0" w:space="0" w:color="auto"/>
      </w:divBdr>
    </w:div>
    <w:div w:id="986930580">
      <w:bodyDiv w:val="1"/>
      <w:marLeft w:val="0"/>
      <w:marRight w:val="0"/>
      <w:marTop w:val="0"/>
      <w:marBottom w:val="0"/>
      <w:divBdr>
        <w:top w:val="none" w:sz="0" w:space="0" w:color="auto"/>
        <w:left w:val="none" w:sz="0" w:space="0" w:color="auto"/>
        <w:bottom w:val="none" w:sz="0" w:space="0" w:color="auto"/>
        <w:right w:val="none" w:sz="0" w:space="0" w:color="auto"/>
      </w:divBdr>
    </w:div>
    <w:div w:id="1073893991">
      <w:bodyDiv w:val="1"/>
      <w:marLeft w:val="0"/>
      <w:marRight w:val="0"/>
      <w:marTop w:val="0"/>
      <w:marBottom w:val="0"/>
      <w:divBdr>
        <w:top w:val="none" w:sz="0" w:space="0" w:color="auto"/>
        <w:left w:val="none" w:sz="0" w:space="0" w:color="auto"/>
        <w:bottom w:val="none" w:sz="0" w:space="0" w:color="auto"/>
        <w:right w:val="none" w:sz="0" w:space="0" w:color="auto"/>
      </w:divBdr>
    </w:div>
    <w:div w:id="169726596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2.xml"/><Relationship Id="rId18" Type="http://schemas.openxmlformats.org/officeDocument/2006/relationships/fontTable" Target="fontTable.xml"/><Relationship Id="rId3" Type="http://schemas.openxmlformats.org/officeDocument/2006/relationships/numbering" Target="numbering.xml"/><Relationship Id="rId7" Type="http://schemas.openxmlformats.org/officeDocument/2006/relationships/footnotes" Target="footnotes.xml"/><Relationship Id="rId12" Type="http://schemas.openxmlformats.org/officeDocument/2006/relationships/chart" Target="charts/chart1.xml"/><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about:blank" TargetMode="External"/><Relationship Id="rId5" Type="http://schemas.openxmlformats.org/officeDocument/2006/relationships/settings" Target="settings.xml"/><Relationship Id="rId15" Type="http://schemas.openxmlformats.org/officeDocument/2006/relationships/image" Target="media/image4.emf"/><Relationship Id="rId10" Type="http://schemas.openxmlformats.org/officeDocument/2006/relationships/image" Target="media/image2.png"/><Relationship Id="rId19"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3.emf"/></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9794174776862001E-2"/>
          <c:y val="3.3945232879108299E-2"/>
          <c:w val="0.94041170097508098"/>
          <c:h val="0.84499480429511598"/>
        </c:manualLayout>
      </c:layout>
      <c:barChart>
        <c:barDir val="col"/>
        <c:grouping val="clustered"/>
        <c:varyColors val="0"/>
        <c:ser>
          <c:idx val="0"/>
          <c:order val="0"/>
          <c:tx>
            <c:strRef>
              <c:f>'TimeSeriesQGDP-const'!$AR$28</c:f>
              <c:strCache>
                <c:ptCount val="1"/>
                <c:pt idx="0">
                  <c:v>Oil GDP</c:v>
                </c:pt>
              </c:strCache>
            </c:strRef>
          </c:tx>
          <c:spPr>
            <a:solidFill>
              <a:schemeClr val="accent1"/>
            </a:solidFill>
            <a:ln>
              <a:noFill/>
            </a:ln>
            <a:effectLst/>
          </c:spPr>
          <c:invertIfNegative val="0"/>
          <c:dLbls>
            <c:dLbl>
              <c:idx val="4"/>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dLbl>
            <c:dLbl>
              <c:idx val="7"/>
              <c:layout>
                <c:manualLayout>
                  <c:x val="-1.1111111111111099E-2"/>
                  <c:y val="8.666667349081419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5881-4848-87D2-FFCA51ACAB0A}"/>
                </c:ext>
                <c:ext xmlns:c15="http://schemas.microsoft.com/office/drawing/2012/chart" uri="{CE6537A1-D6FC-4f65-9D91-7224C49458BB}"/>
              </c:extLst>
            </c:dLbl>
            <c:dLbl>
              <c:idx val="8"/>
              <c:layout>
                <c:manualLayout>
                  <c:x val="-5.5555555555556599E-3"/>
                  <c:y val="2.16666683727035E-2"/>
                </c:manualLayout>
              </c:layout>
              <c:spPr>
                <a:noFill/>
                <a:ln>
                  <a:noFill/>
                </a:ln>
                <a:effectLst/>
              </c:spPr>
              <c:txPr>
                <a:bodyPr rot="0" spcFirstLastPara="1" vertOverflow="ellipsis" vert="horz" wrap="square" lIns="38100" tIns="19050" rIns="38100" bIns="19050" anchor="ctr" anchorCtr="1">
                  <a:spAutoFit/>
                </a:bodyPr>
                <a:lstStyle/>
                <a:p>
                  <a:pPr>
                    <a:defRPr lang="en-US" sz="900" b="1" i="0" u="none" strike="noStrike" kern="1200" baseline="0">
                      <a:solidFill>
                        <a:schemeClr val="accent1"/>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5881-4848-87D2-FFCA51ACAB0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'TimeSeriesQGDP-const'!$AQ$44:$AQ$52</c:f>
              <c:strCache>
                <c:ptCount val="9"/>
                <c:pt idx="0">
                  <c:v>2020Q4</c:v>
                </c:pt>
                <c:pt idx="1">
                  <c:v>2021Q1</c:v>
                </c:pt>
                <c:pt idx="2">
                  <c:v>2021Q2</c:v>
                </c:pt>
                <c:pt idx="3">
                  <c:v>2021Q3</c:v>
                </c:pt>
                <c:pt idx="4">
                  <c:v>2021Q4</c:v>
                </c:pt>
                <c:pt idx="5">
                  <c:v>2022Q1</c:v>
                </c:pt>
                <c:pt idx="6">
                  <c:v>2022Q2</c:v>
                </c:pt>
                <c:pt idx="7">
                  <c:v>2022Q3</c:v>
                </c:pt>
                <c:pt idx="8">
                  <c:v>2022Q4</c:v>
                </c:pt>
              </c:strCache>
            </c:strRef>
          </c:cat>
          <c:val>
            <c:numRef>
              <c:f>'TimeSeriesQGDP-const'!$AR$44:$AR$52</c:f>
              <c:numCache>
                <c:formatCode>0.0%</c:formatCode>
                <c:ptCount val="9"/>
                <c:pt idx="0">
                  <c:v>4.3027534083355023E-2</c:v>
                </c:pt>
                <c:pt idx="1">
                  <c:v>4.0462303424745771E-2</c:v>
                </c:pt>
                <c:pt idx="2">
                  <c:v>3.5996485212617113E-2</c:v>
                </c:pt>
                <c:pt idx="3">
                  <c:v>4.8405634495049865E-2</c:v>
                </c:pt>
                <c:pt idx="4">
                  <c:v>5.6085919570831422E-2</c:v>
                </c:pt>
                <c:pt idx="5">
                  <c:v>2.9978442191770149E-2</c:v>
                </c:pt>
                <c:pt idx="6">
                  <c:v>4.6832690190914184E-2</c:v>
                </c:pt>
                <c:pt idx="7">
                  <c:v>3.1336171393990586E-2</c:v>
                </c:pt>
                <c:pt idx="8">
                  <c:v>3.6750795967372962E-2</c:v>
                </c:pt>
              </c:numCache>
            </c:numRef>
          </c:val>
          <c:extLst xmlns:c16r2="http://schemas.microsoft.com/office/drawing/2015/06/chart">
            <c:ext xmlns:c16="http://schemas.microsoft.com/office/drawing/2014/chart" uri="{C3380CC4-5D6E-409C-BE32-E72D297353CC}">
              <c16:uniqueId val="{00000003-5881-4848-87D2-FFCA51ACAB0A}"/>
            </c:ext>
          </c:extLst>
        </c:ser>
        <c:ser>
          <c:idx val="1"/>
          <c:order val="1"/>
          <c:tx>
            <c:strRef>
              <c:f>'TimeSeriesQGDP-const'!$AS$28</c:f>
              <c:strCache>
                <c:ptCount val="1"/>
                <c:pt idx="0">
                  <c:v>Non-Oil GDP</c:v>
                </c:pt>
              </c:strCache>
            </c:strRef>
          </c:tx>
          <c:spPr>
            <a:solidFill>
              <a:schemeClr val="accent2"/>
            </a:solidFill>
            <a:ln>
              <a:noFill/>
            </a:ln>
            <a:effectLst/>
          </c:spPr>
          <c:invertIfNegative val="0"/>
          <c:dLbls>
            <c:dLbl>
              <c:idx val="4"/>
              <c:layout>
                <c:manualLayout>
                  <c:x val="1.1111111111111001E-2"/>
                  <c:y val="8.6666673490814194E-3"/>
                </c:manualLayout>
              </c:layout>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rgbClr val="FF0000"/>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5881-4848-87D2-FFCA51ACAB0A}"/>
                </c:ext>
                <c:ext xmlns:c15="http://schemas.microsoft.com/office/drawing/2012/chart" uri="{CE6537A1-D6FC-4f65-9D91-7224C49458BB}"/>
              </c:extLst>
            </c:dLbl>
            <c:dLbl>
              <c:idx val="5"/>
              <c:layout>
                <c:manualLayout>
                  <c:x val="0"/>
                  <c:y val="1.85185185185185E-2"/>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881-4848-87D2-FFCA51ACAB0A}"/>
                </c:ext>
                <c:ext xmlns:c15="http://schemas.microsoft.com/office/drawing/2012/chart" uri="{CE6537A1-D6FC-4f65-9D91-7224C49458BB}"/>
              </c:extLst>
            </c:dLbl>
            <c:dLbl>
              <c:idx val="7"/>
              <c:layout>
                <c:manualLayout>
                  <c:x val="1.38888888888889E-2"/>
                  <c:y val="0"/>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5881-4848-87D2-FFCA51ACAB0A}"/>
                </c:ext>
                <c:ext xmlns:c15="http://schemas.microsoft.com/office/drawing/2012/chart" uri="{CE6537A1-D6FC-4f65-9D91-7224C49458BB}"/>
              </c:extLst>
            </c:dLbl>
            <c:dLbl>
              <c:idx val="8"/>
              <c:layout>
                <c:manualLayout>
                  <c:x val="2.2222222222222001E-2"/>
                  <c:y val="8.6666673490814194E-3"/>
                </c:manualLayout>
              </c:layout>
              <c:spPr>
                <a:noFill/>
                <a:ln>
                  <a:noFill/>
                </a:ln>
                <a:effectLst/>
              </c:spPr>
              <c:txPr>
                <a:bodyPr rot="0" spcFirstLastPara="1" vertOverflow="ellipsis" vert="horz" wrap="square" lIns="38100" tIns="19050" rIns="38100" bIns="19050" anchor="ctr" anchorCtr="1">
                  <a:spAutoFit/>
                </a:bodyPr>
                <a:lstStyle/>
                <a:p>
                  <a:pPr>
                    <a:defRPr lang="en-US" sz="900" b="1" i="0" u="none" strike="noStrike" kern="1200" baseline="0">
                      <a:solidFill>
                        <a:srgbClr val="FF0000"/>
                      </a:solidFill>
                      <a:latin typeface="+mn-lt"/>
                      <a:ea typeface="+mn-ea"/>
                      <a:cs typeface="+mn-cs"/>
                    </a:defRPr>
                  </a:pPr>
                  <a:endParaRPr lang="en-US"/>
                </a:p>
              </c:txPr>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881-4848-87D2-FFCA51ACAB0A}"/>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lang="en-US"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'TimeSeriesQGDP-const'!$AQ$44:$AQ$52</c:f>
              <c:strCache>
                <c:ptCount val="9"/>
                <c:pt idx="0">
                  <c:v>2020Q4</c:v>
                </c:pt>
                <c:pt idx="1">
                  <c:v>2021Q1</c:v>
                </c:pt>
                <c:pt idx="2">
                  <c:v>2021Q2</c:v>
                </c:pt>
                <c:pt idx="3">
                  <c:v>2021Q3</c:v>
                </c:pt>
                <c:pt idx="4">
                  <c:v>2021Q4</c:v>
                </c:pt>
                <c:pt idx="5">
                  <c:v>2022Q1</c:v>
                </c:pt>
                <c:pt idx="6">
                  <c:v>2022Q2</c:v>
                </c:pt>
                <c:pt idx="7">
                  <c:v>2022Q3</c:v>
                </c:pt>
                <c:pt idx="8">
                  <c:v>2022Q4</c:v>
                </c:pt>
              </c:strCache>
            </c:strRef>
          </c:cat>
          <c:val>
            <c:numRef>
              <c:f>'TimeSeriesQGDP-const'!$AS$44:$AS$52</c:f>
              <c:numCache>
                <c:formatCode>0.0%</c:formatCode>
                <c:ptCount val="9"/>
                <c:pt idx="0">
                  <c:v>5.6568295080026809E-2</c:v>
                </c:pt>
                <c:pt idx="1">
                  <c:v>5.4229232885366629E-2</c:v>
                </c:pt>
                <c:pt idx="2">
                  <c:v>5.6236647043640398E-2</c:v>
                </c:pt>
                <c:pt idx="3">
                  <c:v>6.1180813523349586E-2</c:v>
                </c:pt>
                <c:pt idx="4">
                  <c:v>6.9385509867837314E-2</c:v>
                </c:pt>
                <c:pt idx="5">
                  <c:v>3.7286850923976544E-2</c:v>
                </c:pt>
                <c:pt idx="6">
                  <c:v>6.0829569492660829E-2</c:v>
                </c:pt>
                <c:pt idx="7">
                  <c:v>3.8062632669670027E-2</c:v>
                </c:pt>
                <c:pt idx="8">
                  <c:v>4.2738515869770843E-2</c:v>
                </c:pt>
              </c:numCache>
            </c:numRef>
          </c:val>
          <c:extLst xmlns:c16r2="http://schemas.microsoft.com/office/drawing/2015/06/chart">
            <c:ext xmlns:c16="http://schemas.microsoft.com/office/drawing/2014/chart" uri="{C3380CC4-5D6E-409C-BE32-E72D297353CC}">
              <c16:uniqueId val="{00000008-5881-4848-87D2-FFCA51ACAB0A}"/>
            </c:ext>
          </c:extLst>
        </c:ser>
        <c:dLbls>
          <c:showLegendKey val="0"/>
          <c:showVal val="1"/>
          <c:showCatName val="0"/>
          <c:showSerName val="0"/>
          <c:showPercent val="0"/>
          <c:showBubbleSize val="0"/>
        </c:dLbls>
        <c:gapWidth val="219"/>
        <c:overlap val="-27"/>
        <c:axId val="392457168"/>
        <c:axId val="392458344"/>
      </c:barChart>
      <c:catAx>
        <c:axId val="39245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crossAx val="392458344"/>
        <c:crosses val="autoZero"/>
        <c:auto val="1"/>
        <c:lblAlgn val="ctr"/>
        <c:lblOffset val="100"/>
        <c:noMultiLvlLbl val="0"/>
      </c:catAx>
      <c:valAx>
        <c:axId val="392458344"/>
        <c:scaling>
          <c:orientation val="minMax"/>
        </c:scaling>
        <c:delete val="1"/>
        <c:axPos val="l"/>
        <c:numFmt formatCode="0.0%" sourceLinked="1"/>
        <c:majorTickMark val="none"/>
        <c:minorTickMark val="none"/>
        <c:tickLblPos val="nextTo"/>
        <c:crossAx val="39245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lang="en-US"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lang="en-US"/>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doughnut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1-66C2-4DEB-8F80-9FA847524CEA}"/>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3-66C2-4DEB-8F80-9FA847524CEA}"/>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c:spPr>
            <c:extLst xmlns:c16r2="http://schemas.microsoft.com/office/drawing/2015/06/chart">
              <c:ext xmlns:c16="http://schemas.microsoft.com/office/drawing/2014/chart" uri="{C3380CC4-5D6E-409C-BE32-E72D297353CC}">
                <c16:uniqueId val="{00000005-66C2-4DEB-8F80-9FA847524CEA}"/>
              </c:ext>
            </c:extLst>
          </c:dPt>
          <c:dLbls>
            <c:dLbl>
              <c:idx val="0"/>
              <c:layout>
                <c:manualLayout>
                  <c:x val="0.10798476709102943"/>
                  <c:y val="-3.442326288161348E-2"/>
                </c:manualLayout>
              </c:layout>
              <c:tx>
                <c:rich>
                  <a:bodyPr rot="0" spcFirstLastPara="1" vertOverflow="ellipsis" vert="horz" wrap="square" lIns="38100" tIns="19050" rIns="38100" bIns="19050" anchor="ctr" anchorCtr="1">
                    <a:noAutofit/>
                  </a:bodyPr>
                  <a:lstStyle/>
                  <a:p>
                    <a:fld id="{500D4D99-54EF-4652-B1FF-164E77329FE7}" type="CATEGORYNAME">
                      <a:rPr lang="en-US" sz="1100" b="1">
                        <a:solidFill>
                          <a:schemeClr val="accent1"/>
                        </a:solidFill>
                      </a:rPr>
                      <a:pPr/>
                      <a:t>[CATEGORY NAME]</a:t>
                    </a:fld>
                    <a:r>
                      <a:rPr lang="en-US" sz="1100" b="1" dirty="0">
                        <a:solidFill>
                          <a:schemeClr val="accent1"/>
                        </a:solidFill>
                      </a:rPr>
                      <a:t>
GH</a:t>
                    </a:r>
                    <a:r>
                      <a:rPr lang="en-US" sz="1100" b="1" dirty="0">
                        <a:solidFill>
                          <a:schemeClr val="accent1"/>
                        </a:solidFill>
                        <a:latin typeface="Calibri" panose="020F0502020204030204" pitchFamily="34" charset="0"/>
                        <a:ea typeface="Calibri" panose="020F0502020204030204" pitchFamily="34" charset="0"/>
                        <a:cs typeface="Calibri" panose="020F0502020204030204" pitchFamily="34" charset="0"/>
                      </a:rPr>
                      <a:t>₵</a:t>
                    </a:r>
                    <a:r>
                      <a:rPr lang="en-US" sz="1100" b="1" dirty="0">
                        <a:solidFill>
                          <a:schemeClr val="accent1"/>
                        </a:solidFill>
                      </a:rPr>
                      <a:t>32,578.6</a:t>
                    </a:r>
                  </a:p>
                  <a:p>
                    <a:r>
                      <a:rPr lang="en-US" sz="1100" b="1" dirty="0">
                        <a:solidFill>
                          <a:schemeClr val="accent1"/>
                        </a:solidFill>
                      </a:rPr>
                      <a:t>18.7%</a:t>
                    </a:r>
                  </a:p>
                </c:rich>
              </c:tx>
              <c:spPr>
                <a:noFill/>
                <a:ln>
                  <a:noFill/>
                </a:ln>
                <a:effectLst/>
              </c:spPr>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1-66C2-4DEB-8F80-9FA847524CEA}"/>
                </c:ext>
                <c:ext xmlns:c15="http://schemas.microsoft.com/office/drawing/2012/chart" uri="{CE6537A1-D6FC-4f65-9D91-7224C49458BB}">
                  <c15:layout>
                    <c:manualLayout>
                      <c:w val="0.24386988564660483"/>
                      <c:h val="0.21139532378763343"/>
                    </c:manualLayout>
                  </c15:layout>
                  <c15:dlblFieldTable/>
                  <c15:showDataLabelsRange val="0"/>
                </c:ext>
              </c:extLst>
            </c:dLbl>
            <c:dLbl>
              <c:idx val="1"/>
              <c:layout>
                <c:manualLayout>
                  <c:x val="0.13268296048274331"/>
                  <c:y val="8.5396562271820367E-3"/>
                </c:manualLayout>
              </c:layout>
              <c:tx>
                <c:rich>
                  <a:bodyPr rot="0" spcFirstLastPara="1" vertOverflow="ellipsis" vert="horz" wrap="square" lIns="38100" tIns="19050" rIns="38100" bIns="19050" anchor="ctr" anchorCtr="1">
                    <a:noAutofit/>
                  </a:bodyPr>
                  <a:lstStyle/>
                  <a:p>
                    <a:fld id="{22F119E2-2382-41DA-B93A-9391C4280A1A}" type="CATEGORYNAME">
                      <a:rPr lang="en-US" sz="1100" b="1">
                        <a:solidFill>
                          <a:srgbClr val="C00000"/>
                        </a:solidFill>
                      </a:rPr>
                      <a:pPr/>
                      <a:t>[CATEGORY NAME]</a:t>
                    </a:fld>
                    <a:r>
                      <a:rPr lang="en-US" sz="1100" b="1" dirty="0">
                        <a:solidFill>
                          <a:srgbClr val="C00000"/>
                        </a:solidFill>
                      </a:rPr>
                      <a:t>
GH</a:t>
                    </a:r>
                    <a:r>
                      <a:rPr lang="en-US" sz="1100" b="1" dirty="0">
                        <a:solidFill>
                          <a:srgbClr val="C00000"/>
                        </a:solidFill>
                        <a:latin typeface="Calibri" panose="020F0502020204030204" pitchFamily="34" charset="0"/>
                        <a:ea typeface="Calibri" panose="020F0502020204030204" pitchFamily="34" charset="0"/>
                        <a:cs typeface="Calibri" panose="020F0502020204030204" pitchFamily="34" charset="0"/>
                      </a:rPr>
                      <a:t>₵</a:t>
                    </a:r>
                    <a:r>
                      <a:rPr lang="en-US" sz="1100" b="1" dirty="0">
                        <a:solidFill>
                          <a:srgbClr val="C00000"/>
                        </a:solidFill>
                      </a:rPr>
                      <a:t>62,596.8</a:t>
                    </a:r>
                  </a:p>
                  <a:p>
                    <a:r>
                      <a:rPr lang="en-US" sz="1100" b="1" dirty="0">
                        <a:solidFill>
                          <a:srgbClr val="C00000"/>
                        </a:solidFill>
                      </a:rPr>
                      <a:t>36.0%</a:t>
                    </a:r>
                  </a:p>
                </c:rich>
              </c:tx>
              <c:spPr>
                <a:noFill/>
                <a:ln>
                  <a:noFill/>
                </a:ln>
                <a:effectLst/>
              </c:spPr>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3-66C2-4DEB-8F80-9FA847524CEA}"/>
                </c:ext>
                <c:ext xmlns:c15="http://schemas.microsoft.com/office/drawing/2012/chart" uri="{CE6537A1-D6FC-4f65-9D91-7224C49458BB}">
                  <c15:layout>
                    <c:manualLayout>
                      <c:w val="0.29153866500376902"/>
                      <c:h val="0.30483242686088502"/>
                    </c:manualLayout>
                  </c15:layout>
                  <c15:dlblFieldTable/>
                  <c15:showDataLabelsRange val="0"/>
                </c:ext>
              </c:extLst>
            </c:dLbl>
            <c:dLbl>
              <c:idx val="2"/>
              <c:layout>
                <c:manualLayout>
                  <c:x val="-0.12555688424460962"/>
                  <c:y val="8.0342391411599823E-2"/>
                </c:manualLayout>
              </c:layout>
              <c:tx>
                <c:rich>
                  <a:bodyPr rot="0" spcFirstLastPara="1" vertOverflow="ellipsis" vert="horz" wrap="square" lIns="38100" tIns="19050" rIns="38100" bIns="19050" anchor="ctr" anchorCtr="1">
                    <a:noAutofit/>
                  </a:bodyPr>
                  <a:lstStyle/>
                  <a:p>
                    <a:fld id="{EDE6CD9C-B2F3-462D-AC4F-2E6B67DE9D5F}" type="CATEGORYNAME">
                      <a:rPr lang="en-US" sz="1100" b="1">
                        <a:solidFill>
                          <a:srgbClr val="92D050"/>
                        </a:solidFill>
                      </a:rPr>
                      <a:pPr/>
                      <a:t>[CATEGORY NAME]</a:t>
                    </a:fld>
                    <a:r>
                      <a:rPr lang="en-US" sz="1100" b="1" dirty="0">
                        <a:solidFill>
                          <a:srgbClr val="92D050"/>
                        </a:solidFill>
                      </a:rPr>
                      <a:t>
GH</a:t>
                    </a:r>
                    <a:r>
                      <a:rPr lang="en-US" sz="1100" b="1" dirty="0">
                        <a:solidFill>
                          <a:srgbClr val="92D050"/>
                        </a:solidFill>
                        <a:latin typeface="Calibri" panose="020F0502020204030204" pitchFamily="34" charset="0"/>
                        <a:ea typeface="Calibri" panose="020F0502020204030204" pitchFamily="34" charset="0"/>
                        <a:cs typeface="Calibri" panose="020F0502020204030204" pitchFamily="34" charset="0"/>
                      </a:rPr>
                      <a:t>₵</a:t>
                    </a:r>
                    <a:r>
                      <a:rPr lang="en-US" sz="1100" b="1" dirty="0">
                        <a:solidFill>
                          <a:srgbClr val="92D050"/>
                        </a:solidFill>
                      </a:rPr>
                      <a:t>78,818.4</a:t>
                    </a:r>
                  </a:p>
                  <a:p>
                    <a:r>
                      <a:rPr lang="en-US" sz="1100" b="1" dirty="0">
                        <a:solidFill>
                          <a:srgbClr val="92D050"/>
                        </a:solidFill>
                      </a:rPr>
                      <a:t>45.3%</a:t>
                    </a:r>
                  </a:p>
                </c:rich>
              </c:tx>
              <c:spPr>
                <a:noFill/>
                <a:ln>
                  <a:noFill/>
                </a:ln>
                <a:effectLst/>
              </c:spPr>
              <c:showLegendKey val="0"/>
              <c:showVal val="1"/>
              <c:showCatName val="1"/>
              <c:showSerName val="0"/>
              <c:showPercent val="1"/>
              <c:showBubbleSize val="0"/>
              <c:separator>
</c:separator>
              <c:extLst xmlns:c16r2="http://schemas.microsoft.com/office/drawing/2015/06/chart">
                <c:ext xmlns:c16="http://schemas.microsoft.com/office/drawing/2014/chart" uri="{C3380CC4-5D6E-409C-BE32-E72D297353CC}">
                  <c16:uniqueId val="{00000005-66C2-4DEB-8F80-9FA847524CEA}"/>
                </c:ext>
                <c:ext xmlns:c15="http://schemas.microsoft.com/office/drawing/2012/chart" uri="{CE6537A1-D6FC-4f65-9D91-7224C49458BB}">
                  <c15:layout>
                    <c:manualLayout>
                      <c:w val="0.25609562859915003"/>
                      <c:h val="0.358821821264039"/>
                    </c:manualLayout>
                  </c15:layout>
                  <c15:dlblFieldTable/>
                  <c15:showDataLabelsRange val="0"/>
                </c:ext>
              </c:extLst>
            </c:dLbl>
            <c:spPr>
              <a:solidFill>
                <a:schemeClr val="lt1"/>
              </a:solidFill>
              <a:ln>
                <a:solidFill>
                  <a:schemeClr val="dk1">
                    <a:lumMod val="25000"/>
                    <a:lumOff val="75000"/>
                  </a:schemeClr>
                </a:solidFill>
              </a:ln>
              <a:effectLst/>
            </c:spPr>
            <c:txPr>
              <a:bodyPr rot="0" spcFirstLastPara="1" vertOverflow="clip" horzOverflow="clip" vert="horz" wrap="square" lIns="38100" tIns="19050" rIns="38100" bIns="19050" anchor="ctr" anchorCtr="1">
                <a:spAutoFit/>
              </a:bodyPr>
              <a:lstStyle/>
              <a:p>
                <a:pPr>
                  <a:defRPr lang="en-US" sz="900" b="0" i="0" u="none" strike="noStrike" kern="1200" baseline="0">
                    <a:solidFill>
                      <a:schemeClr val="dk2">
                        <a:lumMod val="75000"/>
                      </a:schemeClr>
                    </a:solidFill>
                    <a:latin typeface="+mn-lt"/>
                    <a:ea typeface="+mn-ea"/>
                    <a:cs typeface="+mn-cs"/>
                  </a:defRPr>
                </a:pPr>
                <a:endParaRPr lang="en-US"/>
              </a:p>
            </c:txPr>
            <c:showLegendKey val="0"/>
            <c:showVal val="1"/>
            <c:showCatName val="1"/>
            <c:showSerName val="0"/>
            <c:showPercent val="1"/>
            <c:showBubbleSize val="0"/>
            <c:separator>
</c:separator>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c15:spPr>
              </c:ext>
            </c:extLst>
          </c:dLbls>
          <c:cat>
            <c:strRef>
              <c:f>'current gdp_all'!$P$39:$P$41</c:f>
              <c:strCache>
                <c:ptCount val="3"/>
                <c:pt idx="0">
                  <c:v>Agriculture</c:v>
                </c:pt>
                <c:pt idx="1">
                  <c:v>Industry</c:v>
                </c:pt>
                <c:pt idx="2">
                  <c:v>Services</c:v>
                </c:pt>
              </c:strCache>
            </c:strRef>
          </c:cat>
          <c:val>
            <c:numRef>
              <c:f>'current gdp_all'!$Q$39:$Q$41</c:f>
              <c:numCache>
                <c:formatCode>#,##0.0"  "</c:formatCode>
                <c:ptCount val="3"/>
                <c:pt idx="0" formatCode="_(* #,##0.0_);_(* \(#,##0.0\);_(* &quot;-&quot;??_);_(@_)">
                  <c:v>32578.571672735423</c:v>
                </c:pt>
                <c:pt idx="1">
                  <c:v>62596.779271963722</c:v>
                </c:pt>
                <c:pt idx="2" formatCode="_(* #,##0.0_);_(* \(#,##0.0\);_(* &quot;-&quot;??_);_(@_)">
                  <c:v>78818.365114438784</c:v>
                </c:pt>
              </c:numCache>
            </c:numRef>
          </c:val>
          <c:extLst xmlns:c16r2="http://schemas.microsoft.com/office/drawing/2015/06/chart">
            <c:ext xmlns:c16="http://schemas.microsoft.com/office/drawing/2014/chart" uri="{C3380CC4-5D6E-409C-BE32-E72D297353CC}">
              <c16:uniqueId val="{00000006-66C2-4DEB-8F80-9FA847524CEA}"/>
            </c:ext>
          </c:extLst>
        </c:ser>
        <c:dLbls>
          <c:showLegendKey val="0"/>
          <c:showVal val="0"/>
          <c:showCatName val="0"/>
          <c:showSerName val="0"/>
          <c:showPercent val="0"/>
          <c:showBubbleSize val="0"/>
          <c:showLeaderLines val="0"/>
        </c:dLbls>
        <c:firstSliceAng val="0"/>
        <c:holeSize val="75"/>
      </c:doughnutChart>
      <c:spPr>
        <a:noFill/>
        <a:ln>
          <a:noFill/>
        </a:ln>
        <a:effectLst/>
      </c:spPr>
    </c:plotArea>
    <c:legend>
      <c:legendPos val="b"/>
      <c:overlay val="0"/>
      <c:spPr>
        <a:noFill/>
        <a:ln>
          <a:noFill/>
        </a:ln>
        <a:effectLst/>
      </c:spPr>
      <c:txPr>
        <a:bodyPr rot="0" spcFirstLastPara="1" vertOverflow="ellipsis" vert="horz" wrap="square" anchor="ctr" anchorCtr="1"/>
        <a:lstStyle/>
        <a:p>
          <a:pPr>
            <a:defRPr lang="en-US" sz="1100" b="0" i="0" u="none" strike="noStrike" kern="1200" baseline="0">
              <a:solidFill>
                <a:schemeClr val="tx2"/>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2">
          <a:lumMod val="15000"/>
          <a:lumOff val="85000"/>
        </a:schemeClr>
      </a:solidFill>
      <a:prstDash val="solid"/>
      <a:round/>
    </a:ln>
    <a:effectLst/>
  </c:spPr>
  <c:txPr>
    <a:bodyPr/>
    <a:lstStyle/>
    <a:p>
      <a:pPr>
        <a:defRPr lang="en-US"/>
      </a:pPr>
      <a:endParaRPr lang="en-US"/>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8718EA7-1942-4A59-A2C9-32E3FE71C7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11</Pages>
  <Words>1775</Words>
  <Characters>10124</Characters>
  <Application>Microsoft Office Word</Application>
  <DocSecurity>0</DocSecurity>
  <Lines>84</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11876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 O</dc:creator>
  <cp:lastModifiedBy>ABOSU</cp:lastModifiedBy>
  <cp:revision>2</cp:revision>
  <cp:lastPrinted>2022-06-22T08:51:00Z</cp:lastPrinted>
  <dcterms:created xsi:type="dcterms:W3CDTF">2023-04-19T10:57:00Z</dcterms:created>
  <dcterms:modified xsi:type="dcterms:W3CDTF">2023-04-19T10:57:00Z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1033-11.2.0.11417</vt:lpwstr>
  </property>
  <property fmtid="{D5CDD505-2E9C-101B-9397-08002B2CF9AE}" pid="3" name="ICV">
    <vt:lpwstr>BCD3E0A8CCBA416BBF8CCC77ED1E84ED</vt:lpwstr>
  </property>
</Properties>
</file>